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widowControl w:val="false"/>
        <w:spacing w:before="240" w:after="0"/>
        <w:jc w:val="center"/>
        <w:rPr>
          <w:rFonts w:eastAsia="標楷體"/>
          <w:b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WCIT 2017</w:t>
      </w:r>
      <w:r>
        <w:rPr>
          <w:rFonts w:eastAsia="標楷體"/>
          <w:b/>
          <w:sz w:val="40"/>
          <w:szCs w:val="40"/>
        </w:rPr>
        <w:t>循環經濟論壇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/>
          <w:b/>
          <w:sz w:val="40"/>
          <w:szCs w:val="40"/>
        </w:rPr>
        <w:t xml:space="preserve"> </w:t>
      </w:r>
    </w:p>
    <w:p>
      <w:pPr>
        <w:pStyle w:val="Normal"/>
        <w:widowControl w:val="false"/>
        <w:jc w:val="center"/>
        <w:rPr>
          <w:rFonts w:eastAsia="標楷體"/>
          <w:b/>
          <w:b/>
          <w:sz w:val="40"/>
          <w:szCs w:val="40"/>
        </w:rPr>
      </w:pPr>
      <w:bookmarkStart w:id="0" w:name="_gjdgxs"/>
      <w:bookmarkEnd w:id="0"/>
      <w:r>
        <w:rPr>
          <w:rFonts w:eastAsia="標楷體"/>
          <w:b/>
          <w:sz w:val="40"/>
          <w:szCs w:val="40"/>
        </w:rPr>
        <w:t>經濟部提出「零廢棄、零排放、零事故」三零願景</w:t>
      </w:r>
    </w:p>
    <w:p>
      <w:pPr>
        <w:pStyle w:val="Normal"/>
        <w:widowControl w:val="false"/>
        <w:jc w:val="center"/>
        <w:rPr>
          <w:rFonts w:eastAsia="標楷體"/>
          <w:b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首度來台科思創執行長、陽光動力號飛行冒險家 暢談綠色願景</w:t>
      </w:r>
    </w:p>
    <w:p>
      <w:pPr>
        <w:pStyle w:val="Normal"/>
        <w:widowControl w:val="false"/>
        <w:jc w:val="right"/>
        <w:rPr>
          <w:rFonts w:eastAsia="標楷體"/>
          <w:b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</w:r>
    </w:p>
    <w:p>
      <w:pPr>
        <w:pStyle w:val="Normal"/>
        <w:spacing w:lineRule="exact" w:line="440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  </w:t>
      </w:r>
      <w:r>
        <w:rPr>
          <w:rFonts w:eastAsia="標楷體"/>
          <w:sz w:val="30"/>
          <w:szCs w:val="30"/>
        </w:rPr>
        <w:t>2025</w:t>
      </w:r>
      <w:r>
        <w:rPr>
          <w:rFonts w:eastAsia="標楷體"/>
          <w:sz w:val="30"/>
          <w:szCs w:val="30"/>
        </w:rPr>
        <w:t>年全球人口將新增</w:t>
      </w:r>
      <w:r>
        <w:rPr>
          <w:rFonts w:eastAsia="標楷體"/>
          <w:sz w:val="30"/>
          <w:szCs w:val="30"/>
        </w:rPr>
        <w:t>11</w:t>
      </w:r>
      <w:r>
        <w:rPr>
          <w:rFonts w:eastAsia="標楷體"/>
          <w:sz w:val="30"/>
          <w:szCs w:val="30"/>
        </w:rPr>
        <w:t>億人，地球資源匱乏的急迫與嚴重性不容小覷，「循環經濟」是支撐下世代經濟發展的主軸之一。</w:t>
      </w:r>
      <w:r>
        <w:rPr>
          <w:rFonts w:eastAsia="標楷體"/>
          <w:sz w:val="30"/>
          <w:szCs w:val="30"/>
        </w:rPr>
        <w:t>2017</w:t>
      </w:r>
      <w:r>
        <w:rPr>
          <w:rFonts w:eastAsia="標楷體"/>
          <w:sz w:val="30"/>
          <w:szCs w:val="30"/>
        </w:rPr>
        <w:t>世界資訊科技大會今</w:t>
      </w:r>
      <w:r>
        <w:rPr>
          <w:rFonts w:eastAsia="標楷體"/>
          <w:sz w:val="30"/>
          <w:szCs w:val="30"/>
        </w:rPr>
        <w:t>(11)</w:t>
      </w:r>
      <w:r>
        <w:rPr>
          <w:rFonts w:eastAsia="標楷體"/>
          <w:sz w:val="30"/>
          <w:szCs w:val="30"/>
        </w:rPr>
        <w:t>日下午由經濟部楊偉甫次長，攜手首度來台的兩大循環經濟世界級專家科思創公司執行長唐佩德</w:t>
      </w:r>
      <w:r>
        <w:rPr>
          <w:rFonts w:eastAsia="標楷體"/>
          <w:sz w:val="30"/>
          <w:szCs w:val="30"/>
        </w:rPr>
        <w:t>(Patrick Thomas)</w:t>
      </w:r>
      <w:r>
        <w:rPr>
          <w:rFonts w:eastAsia="標楷體"/>
          <w:sz w:val="30"/>
          <w:szCs w:val="30"/>
        </w:rPr>
        <w:t>、陽光動力號的飛行冒險家皮卡德</w:t>
      </w:r>
      <w:r>
        <w:rPr>
          <w:rFonts w:eastAsia="標楷體"/>
          <w:sz w:val="30"/>
          <w:szCs w:val="30"/>
        </w:rPr>
        <w:t>(Bertrand Piccard)</w:t>
      </w:r>
      <w:r>
        <w:rPr>
          <w:rFonts w:eastAsia="標楷體"/>
          <w:sz w:val="30"/>
          <w:szCs w:val="30"/>
        </w:rPr>
        <w:t>與德國在台協會處長歐博哲</w:t>
      </w:r>
      <w:r>
        <w:rPr>
          <w:rFonts w:eastAsia="標楷體"/>
          <w:sz w:val="30"/>
          <w:szCs w:val="30"/>
        </w:rPr>
        <w:t>(Martin Eberts)</w:t>
      </w:r>
      <w:r>
        <w:rPr>
          <w:rFonts w:eastAsia="標楷體"/>
          <w:sz w:val="30"/>
          <w:szCs w:val="30"/>
        </w:rPr>
        <w:t>，一同分享如何運用乾淨科技改寫歷史的真實驗證，探討企業綠色商機、產業可能性與未來永續發展。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 </w:t>
      </w:r>
      <w:r>
        <w:rPr>
          <w:rFonts w:eastAsia="標楷體"/>
          <w:sz w:val="30"/>
          <w:szCs w:val="30"/>
        </w:rPr>
        <w:t xml:space="preserve">科技，是用來改變，讓這世界更精彩。以往線性的消費模式使得全球資源已入不敷出，從 </w:t>
      </w:r>
      <w:r>
        <w:rPr>
          <w:rFonts w:eastAsia="標楷體"/>
          <w:sz w:val="30"/>
          <w:szCs w:val="30"/>
        </w:rPr>
        <w:t xml:space="preserve">2000 </w:t>
      </w:r>
      <w:r>
        <w:rPr>
          <w:rFonts w:eastAsia="標楷體"/>
          <w:sz w:val="30"/>
          <w:szCs w:val="30"/>
        </w:rPr>
        <w:t xml:space="preserve">年到 </w:t>
      </w:r>
      <w:r>
        <w:rPr>
          <w:rFonts w:eastAsia="標楷體"/>
          <w:sz w:val="30"/>
          <w:szCs w:val="30"/>
        </w:rPr>
        <w:t xml:space="preserve">2013 </w:t>
      </w:r>
      <w:r>
        <w:rPr>
          <w:rFonts w:eastAsia="標楷體"/>
          <w:sz w:val="30"/>
          <w:szCs w:val="30"/>
        </w:rPr>
        <w:t>年，全球的商品期貨平均價格增長了近</w:t>
      </w:r>
      <w:r>
        <w:rPr>
          <w:rFonts w:eastAsia="標楷體"/>
          <w:sz w:val="30"/>
          <w:szCs w:val="30"/>
        </w:rPr>
        <w:t>3</w:t>
      </w:r>
      <w:r>
        <w:rPr>
          <w:rFonts w:eastAsia="標楷體"/>
          <w:sz w:val="30"/>
          <w:szCs w:val="30"/>
        </w:rPr>
        <w:t>倍。面對全球原物料價格的上漲，</w:t>
      </w:r>
      <w:r>
        <w:rPr>
          <w:rFonts w:eastAsia="標楷體"/>
          <w:sz w:val="30"/>
          <w:szCs w:val="30"/>
        </w:rPr>
        <w:t>WEF</w:t>
      </w:r>
      <w:r>
        <w:rPr>
          <w:rFonts w:eastAsia="標楷體"/>
          <w:sz w:val="30"/>
          <w:szCs w:val="30"/>
        </w:rPr>
        <w:t>世界經濟論壇與麥肯錫顧問公司也合力發表一份研究報告，指出循環經濟將在</w:t>
      </w:r>
      <w:r>
        <w:rPr>
          <w:rFonts w:eastAsia="標楷體"/>
          <w:sz w:val="30"/>
          <w:szCs w:val="30"/>
        </w:rPr>
        <w:t>5</w:t>
      </w:r>
      <w:r>
        <w:rPr>
          <w:rFonts w:eastAsia="標楷體"/>
          <w:sz w:val="30"/>
          <w:szCs w:val="30"/>
        </w:rPr>
        <w:t>年內，創造</w:t>
      </w:r>
      <w:r>
        <w:rPr>
          <w:rFonts w:eastAsia="標楷體"/>
          <w:sz w:val="30"/>
          <w:szCs w:val="30"/>
        </w:rPr>
        <w:t>5</w:t>
      </w:r>
      <w:r>
        <w:rPr>
          <w:rFonts w:eastAsia="標楷體"/>
          <w:sz w:val="30"/>
          <w:szCs w:val="30"/>
        </w:rPr>
        <w:t>億美金的淨收益、</w:t>
      </w:r>
      <w:r>
        <w:rPr>
          <w:rFonts w:eastAsia="標楷體"/>
          <w:sz w:val="30"/>
          <w:szCs w:val="30"/>
        </w:rPr>
        <w:t>10</w:t>
      </w:r>
      <w:r>
        <w:rPr>
          <w:rFonts w:eastAsia="標楷體"/>
          <w:sz w:val="30"/>
          <w:szCs w:val="30"/>
        </w:rPr>
        <w:t>萬個新工作，並可避免</w:t>
      </w:r>
      <w:r>
        <w:rPr>
          <w:rFonts w:eastAsia="標楷體"/>
          <w:sz w:val="30"/>
          <w:szCs w:val="30"/>
        </w:rPr>
        <w:t>1</w:t>
      </w:r>
      <w:r>
        <w:rPr>
          <w:rFonts w:eastAsia="標楷體"/>
          <w:sz w:val="30"/>
          <w:szCs w:val="30"/>
        </w:rPr>
        <w:t>億噸的原料浪費。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</w:r>
    </w:p>
    <w:p>
      <w:pPr>
        <w:pStyle w:val="Normal"/>
        <w:spacing w:lineRule="auto" w:line="264" w:before="120" w:after="0"/>
        <w:jc w:val="both"/>
        <w:rPr>
          <w:rFonts w:eastAsia="標楷體"/>
          <w:b/>
          <w:b/>
          <w:sz w:val="30"/>
          <w:szCs w:val="30"/>
        </w:rPr>
      </w:pPr>
      <w:r>
        <w:rPr>
          <w:rFonts w:eastAsia="標楷體"/>
          <w:b/>
          <w:sz w:val="30"/>
          <w:szCs w:val="30"/>
        </w:rPr>
        <w:t>產、官、學攜手合作  開創智慧島嶼的循環經濟之路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</w:t>
      </w:r>
      <w:r>
        <w:rPr>
          <w:rFonts w:eastAsia="標楷體"/>
          <w:sz w:val="30"/>
          <w:szCs w:val="30"/>
        </w:rPr>
        <w:t>經濟部目前極力推動「</w:t>
      </w:r>
      <w:r>
        <w:rPr>
          <w:rFonts w:eastAsia="標楷體"/>
          <w:sz w:val="30"/>
          <w:szCs w:val="30"/>
        </w:rPr>
        <w:t>5+2</w:t>
      </w:r>
      <w:r>
        <w:rPr>
          <w:rFonts w:eastAsia="標楷體"/>
          <w:sz w:val="30"/>
          <w:szCs w:val="30"/>
        </w:rPr>
        <w:t>」產業創新研發計畫，鎖定推動循環經濟創造新價值，輔導產業循環使用資源，及配合循環型生態化產業群聚區域，整合區域內產業餘裕之能源與資源，建構資源循環永續利用之產業環境，促進產業互利共生，提升產業綠色生產力，期望逐步邁向「零廢棄、零排放、零事故」之三零願景！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</w:t>
      </w:r>
      <w:r>
        <w:rPr>
          <w:rFonts w:eastAsia="標楷體"/>
          <w:sz w:val="30"/>
          <w:szCs w:val="30"/>
        </w:rPr>
        <w:t>經濟部楊偉甫次長表示，由於臺灣是一個天然資源極度缺乏的國家，能源資源自給率低、水資源匱乏、環境承載有限，且過去產業型態多以資源耗用型產業為主，人民的生活模式亦是嚴重仰賴在消耗能資源上。但隨著原物料需求持續增加、生產成本持續成長等現象開始浮現，找出新的解決方法是臺灣重要的課題！臺灣自</w:t>
      </w:r>
      <w:r>
        <w:rPr>
          <w:rFonts w:eastAsia="標楷體"/>
          <w:sz w:val="30"/>
          <w:szCs w:val="30"/>
        </w:rPr>
        <w:t>1999</w:t>
      </w:r>
      <w:r>
        <w:rPr>
          <w:rFonts w:eastAsia="標楷體"/>
          <w:sz w:val="30"/>
          <w:szCs w:val="30"/>
        </w:rPr>
        <w:t>年起著手推動資源循環，近</w:t>
      </w:r>
      <w:r>
        <w:rPr>
          <w:rFonts w:eastAsia="標楷體"/>
          <w:sz w:val="30"/>
          <w:szCs w:val="30"/>
        </w:rPr>
        <w:t>20</w:t>
      </w:r>
      <w:r>
        <w:rPr>
          <w:rFonts w:eastAsia="標楷體"/>
          <w:sz w:val="30"/>
          <w:szCs w:val="30"/>
        </w:rPr>
        <w:t>年來由社區、經營回收事業的企業以及地方政府攜手合作，加上「廢棄物清理法」、「資源循環利用法」等專法上路，垃圾清運量下降，資源循環逐年增加，促進許多資源生產企業積極從事各種廢料的回收與再生利用，</w:t>
      </w:r>
      <w:r>
        <w:rPr>
          <w:rFonts w:eastAsia="標楷體"/>
          <w:sz w:val="30"/>
          <w:szCs w:val="30"/>
        </w:rPr>
        <w:t>2016</w:t>
      </w:r>
      <w:r>
        <w:rPr>
          <w:rFonts w:eastAsia="標楷體"/>
          <w:sz w:val="30"/>
          <w:szCs w:val="30"/>
        </w:rPr>
        <w:t>年，工業廢棄物的回收利用能力提高到每年</w:t>
      </w:r>
      <w:r>
        <w:rPr>
          <w:rFonts w:eastAsia="標楷體"/>
          <w:sz w:val="30"/>
          <w:szCs w:val="30"/>
        </w:rPr>
        <w:t>1418</w:t>
      </w:r>
      <w:r>
        <w:rPr>
          <w:rFonts w:eastAsia="標楷體"/>
          <w:sz w:val="30"/>
          <w:szCs w:val="30"/>
        </w:rPr>
        <w:t>萬噸，回收利用率達到</w:t>
      </w:r>
      <w:r>
        <w:rPr>
          <w:rFonts w:eastAsia="標楷體"/>
          <w:sz w:val="30"/>
          <w:szCs w:val="30"/>
        </w:rPr>
        <w:t>80</w:t>
      </w:r>
      <w:r>
        <w:rPr>
          <w:rFonts w:eastAsia="標楷體"/>
          <w:sz w:val="30"/>
          <w:szCs w:val="30"/>
        </w:rPr>
        <w:t>％，回收行業產值達</w:t>
      </w:r>
      <w:r>
        <w:rPr>
          <w:rFonts w:eastAsia="標楷體"/>
          <w:sz w:val="30"/>
          <w:szCs w:val="30"/>
        </w:rPr>
        <w:t>25</w:t>
      </w:r>
      <w:r>
        <w:rPr>
          <w:rFonts w:eastAsia="標楷體"/>
          <w:sz w:val="30"/>
          <w:szCs w:val="30"/>
        </w:rPr>
        <w:t>億美元！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</w:r>
    </w:p>
    <w:p>
      <w:pPr>
        <w:pStyle w:val="Normal"/>
        <w:widowControl w:val="false"/>
        <w:rPr>
          <w:rFonts w:eastAsia="標楷體"/>
          <w:b/>
          <w:b/>
          <w:sz w:val="30"/>
          <w:szCs w:val="30"/>
        </w:rPr>
      </w:pPr>
      <w:bookmarkStart w:id="1" w:name="_GoBack"/>
      <w:bookmarkEnd w:id="1"/>
      <w:r>
        <w:rPr>
          <w:rFonts w:eastAsia="標楷體"/>
          <w:b/>
          <w:sz w:val="30"/>
          <w:szCs w:val="30"/>
        </w:rPr>
        <w:t>科思創公司執行長唐佩德：臺灣資源仰賴進口，再生循環迫在眉睫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 </w:t>
      </w:r>
      <w:r>
        <w:rPr>
          <w:rFonts w:eastAsia="標楷體"/>
          <w:sz w:val="30"/>
          <w:szCs w:val="30"/>
        </w:rPr>
        <w:t>科思創公司執行長唐佩德強調，自工業革命起，碳排放在人類發展的歷史中，就扮演不可或缺的地位。然而，隨著全球人口不斷增長、地球能源含量不斷下降，如何兼顧發展同時降低碳循環，成為當代人類追求生存與發展的另一個重要課題。然而，資源匱乏問題是全球迫在眉睫的挑戰之一，尤其臺灣資源多仰賴進口，對於資源的使用與分配，更要錙銖必較，所以在面對危機並提供解決方案的同時，人們應該思考更實際的面向─「獲利」！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 </w:t>
      </w:r>
    </w:p>
    <w:p>
      <w:pPr>
        <w:pStyle w:val="Normal"/>
        <w:widowControl w:val="false"/>
        <w:ind w:firstLine="300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唐佩德解釋，沒有任何的危機解決方案，能夠在無法獲利的狀況下推行，因此，當提到循環經濟時，首重「降低碳循環」。科思創也正積極開發相關技術，提供具獲利性的總體循環經濟解決方案。此外，</w:t>
      </w:r>
      <w:r>
        <w:rPr>
          <w:rFonts w:eastAsia="標楷體"/>
          <w:sz w:val="30"/>
          <w:szCs w:val="30"/>
        </w:rPr>
        <w:t>IT</w:t>
      </w:r>
      <w:r>
        <w:rPr>
          <w:rFonts w:eastAsia="標楷體"/>
          <w:sz w:val="30"/>
          <w:szCs w:val="30"/>
        </w:rPr>
        <w:t>在循環經濟的實行上，扮演著極為重要的角色，例如大數據分析提供了使用者更精確的能源使用紀錄，同時對於製造產業而言，</w:t>
      </w:r>
      <w:r>
        <w:rPr>
          <w:rFonts w:eastAsia="標楷體"/>
          <w:sz w:val="30"/>
          <w:szCs w:val="30"/>
        </w:rPr>
        <w:t>IT</w:t>
      </w:r>
      <w:r>
        <w:rPr>
          <w:rFonts w:eastAsia="標楷體"/>
          <w:sz w:val="30"/>
          <w:szCs w:val="30"/>
        </w:rPr>
        <w:t>應用更是能提供產能效率，而效率提升便代表能源應用效力提高，同時也兼顧降低碳循環的初衷。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 </w:t>
      </w:r>
      <w:r>
        <w:rPr>
          <w:rFonts w:eastAsia="標楷體"/>
          <w:sz w:val="30"/>
          <w:szCs w:val="30"/>
        </w:rPr>
        <w:t>冒險家皮卡德也提到，在他決定要執行「不用一滴油」飛行環遊世界一圈時，沒有人相信他的想法。希望這樣的冒險努力與成功，可以讓世人知道，能源的生活應用有更多的無限可能。人們當今最該思考的議題，是如何有效利用能源，而這也將是未來人類與自然長久共生的重要議題。換句話說，循環經濟不僅是資源再利用與降低碳循環而已，更需要著重於能源有效利用。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</w:t>
      </w:r>
    </w:p>
    <w:p>
      <w:pPr>
        <w:pStyle w:val="Normal"/>
        <w:widowControl w:val="false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</w:t>
      </w:r>
      <w:r>
        <w:rPr>
          <w:rFonts w:eastAsia="標楷體"/>
          <w:sz w:val="30"/>
          <w:szCs w:val="30"/>
        </w:rPr>
        <w:t>全球的經濟雖面臨資源短缺的挑戰，然而企業的轉機大門也因此開啟，循環經濟不只是一種友愛地球的社會責任，更是在資源短缺的危機下，能夠帶領企業走出困局的新路徑，也是企業永續經營的武器！</w:t>
      </w:r>
    </w:p>
    <w:p>
      <w:pPr>
        <w:pStyle w:val="Normal"/>
        <w:widowControl w:val="false"/>
        <w:rPr>
          <w:rFonts w:ascii="Calibri" w:hAnsi="Calibri" w:eastAsia="細明體" w:cs="Calibri" w:asciiTheme="minorHAnsi" w:cstheme="minorHAnsi" w:hAnsiTheme="minorHAnsi"/>
          <w:sz w:val="32"/>
          <w:szCs w:val="32"/>
        </w:rPr>
      </w:pPr>
      <w:r>
        <w:rPr>
          <w:rFonts w:eastAsia="細明體" w:cs="Calibri" w:cstheme="minorHAnsi" w:ascii="Calibri" w:hAnsi="Calibri"/>
          <w:sz w:val="32"/>
          <w:szCs w:val="32"/>
        </w:rPr>
      </w:r>
    </w:p>
    <w:p>
      <w:pPr>
        <w:pStyle w:val="ListParagraph"/>
        <w:ind w:left="0" w:hanging="0"/>
        <w:rPr>
          <w:rFonts w:eastAsia="標楷體" w:cs="Calibri"/>
          <w:sz w:val="28"/>
          <w:szCs w:val="28"/>
        </w:rPr>
      </w:pPr>
      <w:r>
        <w:rPr>
          <w:rFonts w:cs="Calibri" w:eastAsia="標楷體"/>
          <w:sz w:val="28"/>
          <w:szCs w:val="28"/>
        </w:rPr>
        <w:t>新聞聯絡人</w:t>
      </w:r>
      <w:r>
        <w:rPr>
          <w:rFonts w:eastAsia="標楷體" w:cs="Calibri"/>
          <w:sz w:val="28"/>
          <w:szCs w:val="28"/>
        </w:rPr>
        <w:t>:</w:t>
      </w:r>
    </w:p>
    <w:p>
      <w:pPr>
        <w:pStyle w:val="ListParagraph"/>
        <w:ind w:left="0" w:hanging="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WCIT </w:t>
      </w:r>
      <w:r>
        <w:rPr>
          <w:rFonts w:eastAsia="標楷體"/>
          <w:color w:val="222222"/>
          <w:szCs w:val="24"/>
        </w:rPr>
        <w:t>2017</w:t>
      </w:r>
      <w:r>
        <w:rPr>
          <w:rFonts w:eastAsia="標楷體"/>
          <w:color w:val="222222"/>
          <w:szCs w:val="24"/>
        </w:rPr>
        <w:t>年世界資訊科技大會 </w:t>
      </w:r>
      <w:r>
        <w:rPr>
          <w:rFonts w:eastAsia="標楷體"/>
          <w:szCs w:val="24"/>
        </w:rPr>
        <w:t xml:space="preserve"> 國際公關服務團隊</w:t>
      </w:r>
      <w:r>
        <w:rPr>
          <w:rFonts w:eastAsia="標楷體"/>
          <w:szCs w:val="24"/>
        </w:rPr>
        <w:t>&lt;</w:t>
      </w:r>
      <w:r>
        <w:rPr>
          <w:rFonts w:eastAsia="標楷體"/>
          <w:b/>
          <w:color w:val="222222"/>
          <w:szCs w:val="24"/>
          <w:u w:val="single"/>
        </w:rPr>
        <w:t>爆米花數位資訊</w:t>
      </w:r>
      <w:r>
        <w:rPr>
          <w:rFonts w:eastAsia="標楷體"/>
          <w:b/>
          <w:color w:val="222222"/>
          <w:szCs w:val="24"/>
          <w:u w:val="single"/>
        </w:rPr>
        <w:t>&gt;</w:t>
      </w:r>
      <w:r>
        <w:rPr>
          <w:rFonts w:eastAsia="標楷體"/>
          <w:color w:val="222222"/>
          <w:szCs w:val="24"/>
        </w:rPr>
        <w:t>：</w:t>
      </w:r>
    </w:p>
    <w:p>
      <w:pPr>
        <w:pStyle w:val="ListParagraph"/>
        <w:ind w:left="0" w:right="-660" w:hanging="0"/>
        <w:rPr/>
      </w:pPr>
      <w:r>
        <w:rPr>
          <w:rFonts w:eastAsia="標楷體"/>
          <w:color w:val="222222"/>
          <w:szCs w:val="24"/>
        </w:rPr>
        <w:t xml:space="preserve">國內媒體 </w:t>
      </w:r>
      <w:r>
        <w:rPr>
          <w:rFonts w:eastAsia="標楷體"/>
          <w:szCs w:val="24"/>
        </w:rPr>
        <w:t xml:space="preserve">陳震儀 </w:t>
      </w:r>
      <w:r>
        <w:rPr>
          <w:rFonts w:eastAsia="標楷體"/>
          <w:szCs w:val="24"/>
        </w:rPr>
        <w:t xml:space="preserve">+886-2-2357-6315 ext.211/ +886-930-876-778/ </w:t>
      </w:r>
      <w:hyperlink r:id="rId2">
        <w:r>
          <w:rPr>
            <w:rStyle w:val="Style11"/>
            <w:rFonts w:eastAsia="標楷體"/>
            <w:szCs w:val="24"/>
          </w:rPr>
          <w:t>moira@jetgo.com.tw</w:t>
        </w:r>
      </w:hyperlink>
      <w:r>
        <w:rPr>
          <w:rFonts w:eastAsia="標楷體"/>
          <w:szCs w:val="24"/>
        </w:rPr>
        <w:t xml:space="preserve"> </w:t>
      </w:r>
    </w:p>
    <w:p>
      <w:pPr>
        <w:pStyle w:val="ListParagraph"/>
        <w:ind w:left="0" w:right="-660" w:hanging="0"/>
        <w:rPr/>
      </w:pPr>
      <w:r>
        <w:rPr>
          <w:rFonts w:eastAsia="標楷體"/>
          <w:color w:val="222222"/>
          <w:szCs w:val="24"/>
        </w:rPr>
        <w:t xml:space="preserve">國內媒體 劉尹絜 </w:t>
      </w:r>
      <w:r>
        <w:rPr>
          <w:rFonts w:eastAsia="標楷體"/>
          <w:szCs w:val="24"/>
        </w:rPr>
        <w:t xml:space="preserve">+886-2-2357-6315 ext.203/ +886-911-005-616/ </w:t>
      </w:r>
      <w:hyperlink r:id="rId3">
        <w:r>
          <w:rPr>
            <w:rStyle w:val="Style11"/>
            <w:rFonts w:eastAsia="標楷體"/>
            <w:szCs w:val="24"/>
          </w:rPr>
          <w:t>angela@jetgo.com.tw</w:t>
        </w:r>
      </w:hyperlink>
    </w:p>
    <w:p>
      <w:pPr>
        <w:pStyle w:val="ListParagraph"/>
        <w:ind w:left="0" w:right="-660" w:hanging="0"/>
        <w:rPr/>
      </w:pPr>
      <w:r>
        <w:rPr>
          <w:rFonts w:eastAsia="標楷體"/>
          <w:color w:val="222222"/>
          <w:szCs w:val="24"/>
        </w:rPr>
        <w:t>國際媒體 張耕維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+886-2-2357-6315 ext.409/ +886-978-332-788/ </w:t>
      </w:r>
      <w:hyperlink r:id="rId4">
        <w:r>
          <w:rPr>
            <w:rStyle w:val="Style11"/>
            <w:rFonts w:eastAsia="標楷體"/>
            <w:szCs w:val="24"/>
          </w:rPr>
          <w:t>alexchang@jetgo.com.tw</w:t>
        </w:r>
      </w:hyperlink>
    </w:p>
    <w:p>
      <w:pPr>
        <w:pStyle w:val="ListParagraph"/>
        <w:shd w:val="clear" w:color="auto" w:fill="FFFFFF"/>
        <w:ind w:left="0" w:hanging="0"/>
        <w:rPr>
          <w:rFonts w:eastAsia="標楷體"/>
          <w:szCs w:val="24"/>
        </w:rPr>
      </w:pPr>
      <w:r>
        <w:rPr>
          <w:rFonts w:eastAsia="標楷體"/>
          <w:szCs w:val="24"/>
        </w:rPr>
      </w:r>
    </w:p>
    <w:p>
      <w:pPr>
        <w:pStyle w:val="ListParagraph"/>
        <w:shd w:val="clear" w:color="auto" w:fill="FFFFFF"/>
        <w:ind w:left="0" w:hanging="0"/>
        <w:rPr>
          <w:rFonts w:eastAsia="標楷體"/>
          <w:color w:val="222222"/>
          <w:szCs w:val="24"/>
        </w:rPr>
      </w:pPr>
      <w:r>
        <w:rPr>
          <w:rFonts w:eastAsia="標楷體"/>
          <w:szCs w:val="24"/>
        </w:rPr>
        <w:t xml:space="preserve">WCIT </w:t>
      </w:r>
      <w:r>
        <w:rPr>
          <w:rFonts w:eastAsia="標楷體"/>
          <w:color w:val="222222"/>
          <w:szCs w:val="24"/>
        </w:rPr>
        <w:t>2017</w:t>
      </w:r>
      <w:r>
        <w:rPr>
          <w:rFonts w:eastAsia="標楷體"/>
          <w:color w:val="222222"/>
          <w:szCs w:val="24"/>
        </w:rPr>
        <w:t>年世界資訊科技大會 執行會專案辦公室</w:t>
      </w:r>
      <w:r>
        <w:rPr>
          <w:rFonts w:eastAsia="標楷體"/>
          <w:szCs w:val="24"/>
        </w:rPr>
        <w:t>：</w:t>
      </w:r>
    </w:p>
    <w:p>
      <w:pPr>
        <w:pStyle w:val="ListParagraph"/>
        <w:shd w:val="clear" w:color="auto" w:fill="FFFFFF"/>
        <w:ind w:left="0" w:hanging="0"/>
        <w:rPr/>
      </w:pPr>
      <w:r>
        <w:rPr>
          <w:rFonts w:eastAsia="標楷體"/>
          <w:color w:val="222222"/>
          <w:szCs w:val="24"/>
        </w:rPr>
        <w:t xml:space="preserve">國內媒體 </w:t>
      </w:r>
      <w:r>
        <w:rPr>
          <w:rFonts w:eastAsia="標楷體"/>
          <w:szCs w:val="24"/>
        </w:rPr>
        <w:t xml:space="preserve">黃暐婷 </w:t>
      </w:r>
      <w:r>
        <w:rPr>
          <w:rFonts w:eastAsia="標楷體"/>
          <w:color w:val="000000"/>
          <w:szCs w:val="24"/>
        </w:rPr>
        <w:t> </w:t>
      </w:r>
      <w:r>
        <w:rPr>
          <w:rFonts w:eastAsia="標楷體"/>
          <w:szCs w:val="24"/>
        </w:rPr>
        <w:t>+886 2 2721-0760 #108</w:t>
      </w:r>
      <w:r>
        <w:rPr>
          <w:rFonts w:eastAsia="標楷體"/>
          <w:color w:val="000000"/>
          <w:szCs w:val="24"/>
        </w:rPr>
        <w:t xml:space="preserve"> /</w:t>
      </w:r>
      <w:r>
        <w:rPr>
          <w:rFonts w:eastAsia="標楷體"/>
          <w:szCs w:val="24"/>
        </w:rPr>
        <w:t>+886-</w:t>
      </w:r>
      <w:r>
        <w:rPr>
          <w:rFonts w:eastAsia="標楷體"/>
          <w:color w:val="000000"/>
          <w:szCs w:val="24"/>
        </w:rPr>
        <w:t xml:space="preserve">912-280-601/ </w:t>
      </w:r>
      <w:hyperlink r:id="rId5">
        <w:r>
          <w:rPr>
            <w:rStyle w:val="Style11"/>
            <w:rFonts w:eastAsia="標楷體"/>
            <w:color w:val="000000"/>
            <w:szCs w:val="24"/>
          </w:rPr>
          <w:t>wt@iii.org.tw</w:t>
        </w:r>
      </w:hyperlink>
    </w:p>
    <w:p>
      <w:pPr>
        <w:pStyle w:val="ListParagraph"/>
        <w:ind w:left="0" w:right="-544" w:hanging="0"/>
        <w:rPr/>
      </w:pPr>
      <w:r>
        <w:rPr>
          <w:rFonts w:eastAsia="標楷體"/>
          <w:color w:val="222222"/>
          <w:szCs w:val="24"/>
        </w:rPr>
        <w:t>國際媒體 蔣大巍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+886-2-2771-2576 #101/+886-975-878-673/ </w:t>
      </w:r>
      <w:hyperlink r:id="rId6">
        <w:r>
          <w:rPr>
            <w:rStyle w:val="Style11"/>
            <w:rFonts w:eastAsia="標楷體"/>
            <w:szCs w:val="24"/>
          </w:rPr>
          <w:t>davidchiang@iii.org.tw</w:t>
        </w:r>
      </w:hyperlink>
    </w:p>
    <w:p>
      <w:pPr>
        <w:pStyle w:val="Normal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  <w:r>
        <w:br w:type="page"/>
      </w:r>
    </w:p>
    <w:p>
      <w:pPr>
        <w:pStyle w:val="Normal"/>
        <w:snapToGrid w:val="false"/>
        <w:spacing w:lineRule="auto" w:line="264" w:before="240" w:after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【新聞參考資料一】</w:t>
      </w:r>
    </w:p>
    <w:p>
      <w:pPr>
        <w:pStyle w:val="Normal"/>
        <w:snapToGrid w:val="false"/>
        <w:spacing w:lineRule="auto" w:line="264" w:before="240" w:after="0"/>
        <w:jc w:val="center"/>
        <w:rPr>
          <w:rFonts w:ascii="Arial" w:hAnsi="Arial" w:eastAsia="標楷體" w:cs="Arial"/>
          <w:b/>
          <w:b/>
          <w:sz w:val="40"/>
          <w:szCs w:val="40"/>
        </w:rPr>
      </w:pPr>
      <w:r>
        <w:rPr>
          <w:rFonts w:ascii="Arial" w:hAnsi="Arial" w:cs="Arial" w:eastAsia="標楷體"/>
          <w:b/>
          <w:sz w:val="40"/>
          <w:szCs w:val="40"/>
        </w:rPr>
        <w:t>關於</w:t>
      </w:r>
      <w:r>
        <w:rPr>
          <w:rFonts w:eastAsia="標楷體" w:cs="Arial" w:ascii="Arial" w:hAnsi="Arial"/>
          <w:b/>
          <w:sz w:val="40"/>
          <w:szCs w:val="40"/>
        </w:rPr>
        <w:t xml:space="preserve">WCIT 2017 </w:t>
      </w:r>
      <w:r>
        <w:rPr>
          <w:rFonts w:ascii="Arial" w:hAnsi="Arial" w:cs="Arial" w:eastAsia="標楷體"/>
          <w:b/>
          <w:sz w:val="40"/>
          <w:szCs w:val="40"/>
        </w:rPr>
        <w:t>世界資訊科技大會</w:t>
      </w:r>
    </w:p>
    <w:p>
      <w:pPr>
        <w:pStyle w:val="ListParagraph"/>
        <w:widowControl/>
        <w:snapToGrid w:val="false"/>
        <w:spacing w:lineRule="auto" w:line="264"/>
        <w:rPr>
          <w:rFonts w:ascii="Arial" w:hAnsi="Arial" w:eastAsia="標楷體" w:cs="Arial"/>
          <w:sz w:val="28"/>
          <w:szCs w:val="28"/>
        </w:rPr>
      </w:pPr>
      <w:r>
        <w:rPr>
          <w:rFonts w:ascii="Arial" w:hAnsi="Arial" w:cs="Arial" w:eastAsia="標楷體"/>
          <w:sz w:val="28"/>
          <w:szCs w:val="28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264"/>
        <w:rPr>
          <w:rFonts w:ascii="Arial" w:hAnsi="Arial" w:eastAsia="標楷體" w:cs="Arial"/>
          <w:sz w:val="32"/>
          <w:szCs w:val="32"/>
        </w:rPr>
      </w:pPr>
      <w:r>
        <w:rPr>
          <w:rFonts w:eastAsia="標楷體" w:cs="Arial" w:ascii="Arial" w:hAnsi="Arial"/>
          <w:sz w:val="32"/>
          <w:szCs w:val="32"/>
        </w:rPr>
        <w:t>WCIT</w:t>
      </w:r>
      <w:r>
        <w:rPr>
          <w:rFonts w:ascii="Arial" w:hAnsi="Arial" w:cs="Arial" w:eastAsia="標楷體"/>
          <w:sz w:val="32"/>
          <w:szCs w:val="32"/>
        </w:rPr>
        <w:t>的全球影響力</w:t>
      </w:r>
      <w:r>
        <w:rPr>
          <w:rFonts w:eastAsia="標楷體" w:cs="Arial" w:ascii="Arial" w:hAnsi="Arial"/>
          <w:sz w:val="32"/>
          <w:szCs w:val="32"/>
        </w:rPr>
        <w:t>: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世界資訊科技大會</w:t>
      </w:r>
      <w:r>
        <w:rPr>
          <w:rFonts w:eastAsia="標楷體" w:cs="Arial" w:ascii="Arial" w:hAnsi="Arial"/>
          <w:sz w:val="32"/>
          <w:szCs w:val="32"/>
        </w:rPr>
        <w:t>(World Congress on Information Technology</w:t>
      </w:r>
      <w:r>
        <w:rPr>
          <w:rFonts w:ascii="Arial" w:hAnsi="Arial" w:cs="Arial" w:eastAsia="標楷體"/>
          <w:sz w:val="32"/>
          <w:szCs w:val="32"/>
        </w:rPr>
        <w:t>，簡稱</w:t>
      </w:r>
      <w:r>
        <w:rPr>
          <w:rFonts w:eastAsia="標楷體" w:cs="Arial" w:ascii="Arial" w:hAnsi="Arial"/>
          <w:sz w:val="32"/>
          <w:szCs w:val="32"/>
        </w:rPr>
        <w:t>WCIT)</w:t>
      </w:r>
      <w:r>
        <w:rPr>
          <w:rFonts w:ascii="Arial" w:hAnsi="Arial" w:cs="Arial" w:eastAsia="標楷體"/>
          <w:sz w:val="32"/>
          <w:szCs w:val="32"/>
        </w:rPr>
        <w:t>，素有資通訊科技界「奧林匹克大會」的美譽，是由匯聚全球</w:t>
      </w:r>
      <w:r>
        <w:rPr>
          <w:rFonts w:eastAsia="標楷體" w:cs="Arial" w:ascii="Arial" w:hAnsi="Arial"/>
          <w:sz w:val="32"/>
          <w:szCs w:val="32"/>
        </w:rPr>
        <w:t>80</w:t>
      </w:r>
      <w:r>
        <w:rPr>
          <w:rFonts w:ascii="Arial" w:hAnsi="Arial" w:cs="Arial" w:eastAsia="標楷體"/>
          <w:sz w:val="32"/>
          <w:szCs w:val="32"/>
        </w:rPr>
        <w:t xml:space="preserve">多個資訊與通訊產業代表的世界資訊科技暨服務業聯盟 </w:t>
      </w:r>
      <w:r>
        <w:rPr>
          <w:rFonts w:eastAsia="標楷體" w:cs="Arial" w:ascii="Arial" w:hAnsi="Arial"/>
          <w:sz w:val="32"/>
          <w:szCs w:val="32"/>
        </w:rPr>
        <w:t xml:space="preserve">(World Information Technology &amp; Services Alliance, </w:t>
      </w:r>
      <w:r>
        <w:rPr>
          <w:rFonts w:ascii="Arial" w:hAnsi="Arial" w:cs="Arial" w:eastAsia="標楷體"/>
          <w:sz w:val="32"/>
          <w:szCs w:val="32"/>
        </w:rPr>
        <w:t>簡稱</w:t>
      </w:r>
      <w:r>
        <w:rPr>
          <w:rFonts w:eastAsia="標楷體" w:cs="Arial" w:ascii="Arial" w:hAnsi="Arial"/>
          <w:sz w:val="32"/>
          <w:szCs w:val="32"/>
        </w:rPr>
        <w:t>WITSA)</w:t>
      </w:r>
      <w:r>
        <w:rPr>
          <w:rFonts w:ascii="Arial" w:hAnsi="Arial" w:cs="Arial" w:eastAsia="標楷體"/>
          <w:sz w:val="32"/>
          <w:szCs w:val="32"/>
        </w:rPr>
        <w:t>組織，所發起的全球資訊科技與通訊高峰會議及</w:t>
      </w:r>
      <w:r>
        <w:rPr>
          <w:rFonts w:eastAsia="標楷體" w:cs="Arial" w:ascii="Arial" w:hAnsi="Arial"/>
          <w:sz w:val="32"/>
          <w:szCs w:val="32"/>
        </w:rPr>
        <w:t>B2B</w:t>
      </w:r>
      <w:r>
        <w:rPr>
          <w:rFonts w:ascii="Arial" w:hAnsi="Arial" w:cs="Arial" w:eastAsia="標楷體"/>
          <w:sz w:val="32"/>
          <w:szCs w:val="32"/>
        </w:rPr>
        <w:t>商機媒合交流活動，每年此大會群聚來自世界各地超過</w:t>
      </w:r>
      <w:r>
        <w:rPr>
          <w:rFonts w:eastAsia="標楷體" w:cs="Arial" w:ascii="Arial" w:hAnsi="Arial"/>
          <w:sz w:val="32"/>
          <w:szCs w:val="32"/>
        </w:rPr>
        <w:t>2000</w:t>
      </w:r>
      <w:r>
        <w:rPr>
          <w:rFonts w:ascii="Arial" w:hAnsi="Arial" w:cs="Arial" w:eastAsia="標楷體"/>
          <w:sz w:val="32"/>
          <w:szCs w:val="32"/>
        </w:rPr>
        <w:t>名以上的</w:t>
      </w:r>
      <w:r>
        <w:rPr>
          <w:rFonts w:eastAsia="標楷體" w:cs="Arial" w:ascii="Arial" w:hAnsi="Arial"/>
          <w:sz w:val="32"/>
          <w:szCs w:val="32"/>
        </w:rPr>
        <w:t>ICT</w:t>
      </w:r>
      <w:r>
        <w:rPr>
          <w:rFonts w:ascii="Arial" w:hAnsi="Arial" w:cs="Arial" w:eastAsia="標楷體"/>
          <w:sz w:val="32"/>
          <w:szCs w:val="32"/>
        </w:rPr>
        <w:t>領導企業與前瞻思想領袖，共同分享對未來資訊科技的創新發展趨勢及前瞻技術。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eastAsia="標楷體" w:cs="Arial" w:ascii="Arial" w:hAnsi="Arial"/>
          <w:sz w:val="32"/>
          <w:szCs w:val="32"/>
        </w:rPr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264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臺灣</w:t>
      </w:r>
      <w:r>
        <w:rPr>
          <w:rFonts w:eastAsia="標楷體" w:cs="Arial" w:ascii="Arial" w:hAnsi="Arial"/>
          <w:sz w:val="32"/>
          <w:szCs w:val="32"/>
        </w:rPr>
        <w:t>WCIT</w:t>
      </w:r>
      <w:r>
        <w:rPr>
          <w:rFonts w:ascii="Arial" w:hAnsi="Arial" w:cs="Arial" w:eastAsia="標楷體"/>
          <w:sz w:val="32"/>
          <w:szCs w:val="32"/>
        </w:rPr>
        <w:t>籌辦緣起</w:t>
      </w:r>
      <w:r>
        <w:rPr>
          <w:rFonts w:eastAsia="標楷體" w:cs="Arial" w:ascii="Arial" w:hAnsi="Arial"/>
          <w:sz w:val="32"/>
          <w:szCs w:val="32"/>
        </w:rPr>
        <w:t>: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臺灣是舉世聞名的科技強國，臺灣資訊科技產業鏈在全球資訊業中扮演極為重要角色，早在我國主辦</w:t>
      </w:r>
      <w:r>
        <w:rPr>
          <w:rFonts w:eastAsia="標楷體" w:cs="Arial" w:ascii="Arial" w:hAnsi="Arial"/>
          <w:sz w:val="32"/>
          <w:szCs w:val="32"/>
        </w:rPr>
        <w:t>WCIT 2000</w:t>
      </w:r>
      <w:r>
        <w:rPr>
          <w:rFonts w:ascii="Arial" w:hAnsi="Arial" w:cs="Arial" w:eastAsia="標楷體"/>
          <w:sz w:val="32"/>
          <w:szCs w:val="32"/>
        </w:rPr>
        <w:t>時，比爾蓋茲</w:t>
      </w:r>
      <w:r>
        <w:rPr>
          <w:rFonts w:eastAsia="標楷體" w:cs="Arial" w:ascii="Arial" w:hAnsi="Arial"/>
          <w:sz w:val="32"/>
          <w:szCs w:val="32"/>
        </w:rPr>
        <w:t>(Bill Gates)</w:t>
      </w:r>
      <w:r>
        <w:rPr>
          <w:rFonts w:ascii="Arial" w:hAnsi="Arial" w:cs="Arial" w:eastAsia="標楷體"/>
          <w:sz w:val="32"/>
          <w:szCs w:val="32"/>
        </w:rPr>
        <w:t>、約翰錢伯斯</w:t>
      </w:r>
      <w:r>
        <w:rPr>
          <w:rFonts w:eastAsia="標楷體" w:cs="Arial" w:ascii="Arial" w:hAnsi="Arial"/>
          <w:sz w:val="32"/>
          <w:szCs w:val="32"/>
        </w:rPr>
        <w:t>(John Chambers)</w:t>
      </w:r>
      <w:r>
        <w:rPr>
          <w:rFonts w:ascii="Arial" w:hAnsi="Arial" w:cs="Arial" w:eastAsia="標楷體"/>
          <w:sz w:val="32"/>
          <w:szCs w:val="32"/>
        </w:rPr>
        <w:t>、卡莉</w:t>
      </w:r>
      <w:r>
        <w:rPr>
          <w:rFonts w:eastAsia="標楷體" w:cs="Arial" w:ascii="Arial" w:hAnsi="Arial"/>
          <w:sz w:val="32"/>
          <w:szCs w:val="32"/>
        </w:rPr>
        <w:t>·</w:t>
      </w:r>
      <w:r>
        <w:rPr>
          <w:rFonts w:ascii="Arial" w:hAnsi="Arial" w:cs="Arial" w:eastAsia="標楷體"/>
          <w:sz w:val="32"/>
          <w:szCs w:val="32"/>
        </w:rPr>
        <w:t>菲奧莉娜</w:t>
      </w:r>
      <w:r>
        <w:rPr>
          <w:rFonts w:eastAsia="標楷體" w:cs="Arial" w:ascii="Arial" w:hAnsi="Arial"/>
          <w:sz w:val="32"/>
          <w:szCs w:val="32"/>
        </w:rPr>
        <w:t>(Carly Fiorina)</w:t>
      </w:r>
      <w:r>
        <w:rPr>
          <w:rFonts w:ascii="Arial" w:hAnsi="Arial" w:cs="Arial" w:eastAsia="標楷體"/>
          <w:sz w:val="32"/>
          <w:szCs w:val="32"/>
        </w:rPr>
        <w:t>就都曾受邀來臺分享未來願景，帶動全球科技新風潮。由於近年臺灣產業也在拚轉型，睽違</w:t>
      </w:r>
      <w:r>
        <w:rPr>
          <w:rFonts w:eastAsia="標楷體" w:cs="Arial" w:ascii="Arial" w:hAnsi="Arial"/>
          <w:sz w:val="32"/>
          <w:szCs w:val="32"/>
        </w:rPr>
        <w:t>17</w:t>
      </w:r>
      <w:r>
        <w:rPr>
          <w:rFonts w:ascii="Arial" w:hAnsi="Arial" w:cs="Arial" w:eastAsia="標楷體"/>
          <w:sz w:val="32"/>
          <w:szCs w:val="32"/>
        </w:rPr>
        <w:t>年後，今年再次舉辦「世界資訊科技</w:t>
      </w:r>
      <w:r>
        <w:rPr>
          <w:rFonts w:eastAsia="標楷體" w:cs="Arial" w:ascii="Arial" w:hAnsi="Arial"/>
          <w:sz w:val="32"/>
          <w:szCs w:val="32"/>
        </w:rPr>
        <w:t>WCIT</w:t>
      </w:r>
      <w:r>
        <w:rPr>
          <w:rFonts w:ascii="Arial" w:hAnsi="Arial" w:cs="Arial" w:eastAsia="標楷體"/>
          <w:sz w:val="32"/>
          <w:szCs w:val="32"/>
        </w:rPr>
        <w:t>大會」，期望能透過辦理世界級活動，協助國人與科技產業恢復信心，再次展現臺灣體驗經濟實力及臺灣</w:t>
      </w:r>
      <w:r>
        <w:rPr>
          <w:rFonts w:eastAsia="標楷體" w:cs="Arial" w:ascii="Arial" w:hAnsi="Arial"/>
          <w:sz w:val="32"/>
          <w:szCs w:val="32"/>
        </w:rPr>
        <w:t>5+2</w:t>
      </w:r>
      <w:r>
        <w:rPr>
          <w:rFonts w:ascii="Arial" w:hAnsi="Arial" w:cs="Arial" w:eastAsia="標楷體"/>
          <w:sz w:val="32"/>
          <w:szCs w:val="32"/>
        </w:rPr>
        <w:t xml:space="preserve">產業創新能量。 </w:t>
      </w:r>
      <w:r>
        <w:rPr>
          <w:rFonts w:eastAsia="標楷體" w:cs="Arial" w:ascii="Arial" w:hAnsi="Arial"/>
          <w:sz w:val="32"/>
          <w:szCs w:val="32"/>
        </w:rPr>
        <w:t xml:space="preserve">WCIT </w:t>
      </w:r>
      <w:r>
        <w:rPr>
          <w:rFonts w:ascii="Arial" w:hAnsi="Arial" w:cs="Arial" w:eastAsia="標楷體"/>
          <w:sz w:val="32"/>
          <w:szCs w:val="32"/>
        </w:rPr>
        <w:t>大會過去近十年都在歐美地區辦理，今年</w:t>
      </w:r>
      <w:r>
        <w:rPr>
          <w:rFonts w:eastAsia="標楷體" w:cs="Arial" w:ascii="Arial" w:hAnsi="Arial"/>
          <w:sz w:val="32"/>
          <w:szCs w:val="32"/>
        </w:rPr>
        <w:t>WCIT 2017</w:t>
      </w:r>
      <w:r>
        <w:rPr>
          <w:rFonts w:ascii="Arial" w:hAnsi="Arial" w:cs="Arial" w:eastAsia="標楷體"/>
          <w:sz w:val="32"/>
          <w:szCs w:val="32"/>
        </w:rPr>
        <w:t>正式交棒臺灣，宣告未來連續五屆都將在亞洲舉辦，證明亞洲之心</w:t>
      </w:r>
      <w:r>
        <w:rPr>
          <w:rFonts w:eastAsia="標楷體" w:cs="Arial" w:ascii="Arial" w:hAnsi="Arial"/>
          <w:sz w:val="32"/>
          <w:szCs w:val="32"/>
        </w:rPr>
        <w:t>-</w:t>
      </w:r>
      <w:r>
        <w:rPr>
          <w:rFonts w:ascii="Arial" w:hAnsi="Arial" w:cs="Arial" w:eastAsia="標楷體"/>
          <w:sz w:val="32"/>
          <w:szCs w:val="32"/>
        </w:rPr>
        <w:t>臺灣智慧島嶼，將是下一波全球經濟成長的焦點、國際行銷平臺，</w:t>
      </w:r>
      <w:r>
        <w:rPr>
          <w:rFonts w:eastAsia="標楷體" w:cs="Arial" w:ascii="Arial" w:hAnsi="Arial"/>
          <w:sz w:val="32"/>
          <w:szCs w:val="32"/>
        </w:rPr>
        <w:t>2017</w:t>
      </w:r>
      <w:r>
        <w:rPr>
          <w:rFonts w:ascii="Arial" w:hAnsi="Arial" w:cs="Arial" w:eastAsia="標楷體"/>
          <w:sz w:val="32"/>
          <w:szCs w:val="32"/>
        </w:rPr>
        <w:t>年起亞洲未來資通訊產業的創新轉型經濟，將從臺灣出發擴散至全亞洲、全世界。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eastAsia="標楷體" w:cs="Arial" w:ascii="Arial" w:hAnsi="Arial"/>
          <w:sz w:val="32"/>
          <w:szCs w:val="32"/>
        </w:rPr>
      </w:r>
    </w:p>
    <w:p>
      <w:pPr>
        <w:pStyle w:val="ListParagraph"/>
        <w:widowControl/>
        <w:numPr>
          <w:ilvl w:val="0"/>
          <w:numId w:val="1"/>
        </w:numPr>
        <w:snapToGrid w:val="false"/>
        <w:spacing w:lineRule="auto" w:line="264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關於</w:t>
      </w:r>
      <w:r>
        <w:rPr>
          <w:rFonts w:eastAsia="標楷體" w:cs="Arial" w:ascii="Arial" w:hAnsi="Arial"/>
          <w:sz w:val="32"/>
          <w:szCs w:val="32"/>
        </w:rPr>
        <w:t>WITSA: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32"/>
          <w:szCs w:val="32"/>
        </w:rPr>
      </w:pPr>
      <w:r>
        <w:rPr>
          <w:rFonts w:ascii="Arial" w:hAnsi="Arial" w:cs="Arial" w:eastAsia="標楷體"/>
          <w:sz w:val="32"/>
          <w:szCs w:val="32"/>
        </w:rPr>
        <w:t>世界資訊科技暨服務業聯盟</w:t>
      </w:r>
      <w:r>
        <w:rPr>
          <w:rFonts w:eastAsia="標楷體" w:cs="Arial" w:ascii="Arial" w:hAnsi="Arial"/>
          <w:sz w:val="32"/>
          <w:szCs w:val="32"/>
        </w:rPr>
        <w:t>(World Information Technology &amp; Services Alliance, WITSA)</w:t>
      </w:r>
      <w:r>
        <w:rPr>
          <w:rFonts w:ascii="Arial" w:hAnsi="Arial" w:cs="Arial" w:eastAsia="標楷體"/>
          <w:sz w:val="32"/>
          <w:szCs w:val="32"/>
        </w:rPr>
        <w:t>成立於</w:t>
      </w:r>
      <w:r>
        <w:rPr>
          <w:rFonts w:eastAsia="標楷體" w:cs="Arial" w:ascii="Arial" w:hAnsi="Arial"/>
          <w:sz w:val="32"/>
          <w:szCs w:val="32"/>
        </w:rPr>
        <w:t>1978</w:t>
      </w:r>
      <w:r>
        <w:rPr>
          <w:rFonts w:ascii="Arial" w:hAnsi="Arial" w:cs="Arial" w:eastAsia="標楷體"/>
          <w:sz w:val="32"/>
          <w:szCs w:val="32"/>
        </w:rPr>
        <w:t>年，是代表全球資訊科技服務產業的最大的同業組織。該聯盟宗旨在推動資訊科技之應用，並呼籲各國政府破除貿易障礙促進產業自由化。聯盟之下根據不同議題發表宣言或政策白皮書。由於其為全球資訊與通訊產業的代言人，其所表達之立場與意見，在世界貿易組織（</w:t>
      </w:r>
      <w:r>
        <w:rPr>
          <w:rFonts w:eastAsia="標楷體" w:cs="Arial" w:ascii="Arial" w:hAnsi="Arial"/>
          <w:sz w:val="32"/>
          <w:szCs w:val="32"/>
        </w:rPr>
        <w:t>WTO</w:t>
      </w:r>
      <w:r>
        <w:rPr>
          <w:rFonts w:ascii="Arial" w:hAnsi="Arial" w:cs="Arial" w:eastAsia="標楷體"/>
          <w:sz w:val="32"/>
          <w:szCs w:val="32"/>
        </w:rPr>
        <w:t>），經濟合作開發組織（</w:t>
      </w:r>
      <w:r>
        <w:rPr>
          <w:rFonts w:eastAsia="標楷體" w:cs="Arial" w:ascii="Arial" w:hAnsi="Arial"/>
          <w:sz w:val="32"/>
          <w:szCs w:val="32"/>
        </w:rPr>
        <w:t>OECD</w:t>
      </w:r>
      <w:r>
        <w:rPr>
          <w:rFonts w:ascii="Arial" w:hAnsi="Arial" w:cs="Arial" w:eastAsia="標楷體"/>
          <w:sz w:val="32"/>
          <w:szCs w:val="32"/>
        </w:rPr>
        <w:t>）、亞太經濟合作組織（</w:t>
      </w:r>
      <w:r>
        <w:rPr>
          <w:rFonts w:eastAsia="標楷體" w:cs="Arial" w:ascii="Arial" w:hAnsi="Arial"/>
          <w:sz w:val="32"/>
          <w:szCs w:val="32"/>
        </w:rPr>
        <w:t>APEC</w:t>
      </w:r>
      <w:r>
        <w:rPr>
          <w:rFonts w:ascii="Arial" w:hAnsi="Arial" w:cs="Arial" w:eastAsia="標楷體"/>
          <w:sz w:val="32"/>
          <w:szCs w:val="32"/>
        </w:rPr>
        <w:t>）和八大經濟國高峰會議（</w:t>
      </w:r>
      <w:r>
        <w:rPr>
          <w:rFonts w:eastAsia="標楷體" w:cs="Arial" w:ascii="Arial" w:hAnsi="Arial"/>
          <w:sz w:val="32"/>
          <w:szCs w:val="32"/>
        </w:rPr>
        <w:t>G-8</w:t>
      </w:r>
      <w:r>
        <w:rPr>
          <w:rFonts w:ascii="Arial" w:hAnsi="Arial" w:cs="Arial" w:eastAsia="標楷體"/>
          <w:sz w:val="32"/>
          <w:szCs w:val="32"/>
        </w:rPr>
        <w:t>）受到相當之重視。</w:t>
      </w:r>
      <w:r>
        <w:rPr>
          <w:rFonts w:eastAsia="標楷體" w:cs="Arial" w:ascii="Arial" w:hAnsi="Arial"/>
          <w:sz w:val="32"/>
          <w:szCs w:val="32"/>
        </w:rPr>
        <w:t>WITSA</w:t>
      </w:r>
      <w:r>
        <w:rPr>
          <w:rFonts w:ascii="Arial" w:hAnsi="Arial" w:cs="Arial" w:eastAsia="標楷體"/>
          <w:sz w:val="32"/>
          <w:szCs w:val="32"/>
        </w:rPr>
        <w:t xml:space="preserve">主要舉辦的二大國際活動包含「世界資訊科技大會」及全球公共政策高峰會 </w:t>
      </w:r>
      <w:r>
        <w:rPr>
          <w:rFonts w:eastAsia="標楷體" w:cs="Arial" w:ascii="Arial" w:hAnsi="Arial"/>
          <w:sz w:val="32"/>
          <w:szCs w:val="32"/>
        </w:rPr>
        <w:t>(GPATS)</w:t>
      </w:r>
      <w:r>
        <w:rPr>
          <w:rFonts w:ascii="Arial" w:hAnsi="Arial" w:cs="Arial" w:eastAsia="標楷體"/>
          <w:sz w:val="32"/>
          <w:szCs w:val="32"/>
        </w:rPr>
        <w:t>，提供會員國於資訊服務產業之國際議題討論與交流的平臺。</w:t>
      </w:r>
    </w:p>
    <w:p>
      <w:pPr>
        <w:pStyle w:val="Normal"/>
        <w:snapToGrid w:val="false"/>
        <w:spacing w:lineRule="auto" w:line="264"/>
        <w:ind w:firstLine="480"/>
        <w:rPr>
          <w:rFonts w:ascii="Arial" w:hAnsi="Arial" w:eastAsia="標楷體" w:cs="Arial"/>
          <w:sz w:val="28"/>
          <w:szCs w:val="28"/>
        </w:rPr>
      </w:pPr>
      <w:r>
        <w:rPr>
          <w:rFonts w:eastAsia="標楷體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標楷體" w:cs="Arial"/>
          <w:sz w:val="28"/>
          <w:szCs w:val="28"/>
        </w:rPr>
      </w:pPr>
      <w:r>
        <w:rPr>
          <w:rFonts w:eastAsia="標楷體" w:cs="Arial" w:ascii="Arial" w:hAnsi="Arial"/>
          <w:sz w:val="28"/>
          <w:szCs w:val="28"/>
        </w:rPr>
      </w:r>
      <w:r>
        <w:br w:type="page"/>
      </w:r>
    </w:p>
    <w:p>
      <w:pPr>
        <w:pStyle w:val="Normal"/>
        <w:snapToGrid w:val="false"/>
        <w:spacing w:lineRule="auto" w:line="264" w:before="120" w:after="0"/>
        <w:rPr>
          <w:rFonts w:ascii="Arial" w:hAnsi="Arial" w:eastAsia="標楷體" w:cs="Arial"/>
          <w:sz w:val="28"/>
          <w:szCs w:val="28"/>
        </w:rPr>
      </w:pPr>
      <w:r>
        <w:rPr>
          <w:rFonts w:ascii="Arial" w:hAnsi="Arial" w:cs="Arial" w:eastAsia="標楷體"/>
          <w:sz w:val="28"/>
          <w:szCs w:val="28"/>
        </w:rPr>
        <w:t>【新聞參考資料二】</w:t>
      </w:r>
    </w:p>
    <w:p>
      <w:pPr>
        <w:pStyle w:val="Normal"/>
        <w:snapToGrid w:val="false"/>
        <w:spacing w:lineRule="auto" w:line="264" w:before="120" w:after="0"/>
        <w:rPr>
          <w:rFonts w:ascii="Arial" w:hAnsi="Arial" w:eastAsia="標楷體" w:cs="Arial"/>
          <w:sz w:val="28"/>
          <w:szCs w:val="28"/>
        </w:rPr>
      </w:pPr>
      <w:r>
        <w:rPr>
          <w:rFonts w:eastAsia="標楷體" w:cs="Arial" w:ascii="Arial" w:hAnsi="Arial"/>
          <w:sz w:val="28"/>
          <w:szCs w:val="28"/>
        </w:rPr>
      </w:r>
    </w:p>
    <w:p>
      <w:pPr>
        <w:pStyle w:val="Normal"/>
        <w:snapToGrid w:val="false"/>
        <w:spacing w:lineRule="auto" w:line="264" w:before="120" w:after="0"/>
        <w:jc w:val="center"/>
        <w:rPr>
          <w:rFonts w:ascii="Arial" w:hAnsi="Arial" w:eastAsia="標楷體" w:cs="Arial"/>
          <w:b/>
          <w:b/>
          <w:sz w:val="40"/>
          <w:szCs w:val="40"/>
        </w:rPr>
      </w:pPr>
      <w:r>
        <w:rPr>
          <w:rFonts w:eastAsia="標楷體" w:cs="Arial" w:ascii="Arial" w:hAnsi="Arial"/>
          <w:b/>
          <w:sz w:val="40"/>
          <w:szCs w:val="40"/>
        </w:rPr>
        <w:t xml:space="preserve">WCIT 2017 </w:t>
      </w:r>
      <w:r>
        <w:rPr>
          <w:rFonts w:ascii="Arial" w:hAnsi="Arial" w:cs="Arial" w:eastAsia="標楷體"/>
          <w:b/>
          <w:sz w:val="40"/>
          <w:szCs w:val="40"/>
        </w:rPr>
        <w:t>世界資訊科技大會 組織介紹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指導單位：</w:t>
      </w:r>
      <w:r>
        <w:rPr>
          <w:rFonts w:ascii="標楷體" w:hAnsi="標楷體" w:cs="Arial" w:eastAsia="標楷體"/>
          <w:sz w:val="30"/>
          <w:szCs w:val="30"/>
        </w:rPr>
        <w:t>行政院科技會報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主辦單位：</w:t>
      </w:r>
      <w:r>
        <w:rPr>
          <w:rFonts w:ascii="標楷體" w:hAnsi="標楷體" w:cs="Arial" w:eastAsia="標楷體"/>
          <w:sz w:val="30"/>
          <w:szCs w:val="30"/>
        </w:rPr>
        <w:t>經濟部、</w:t>
      </w:r>
      <w:r>
        <w:rPr>
          <w:rFonts w:eastAsia="標楷體" w:cs="Arial" w:ascii="標楷體" w:hAnsi="標楷體"/>
          <w:sz w:val="30"/>
          <w:szCs w:val="30"/>
        </w:rPr>
        <w:t>WITSA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主辦城市：</w:t>
      </w:r>
      <w:r>
        <w:rPr>
          <w:rFonts w:ascii="標楷體" w:hAnsi="標楷體" w:cs="Arial" w:eastAsia="標楷體"/>
          <w:sz w:val="30"/>
          <w:szCs w:val="30"/>
        </w:rPr>
        <w:t>臺北市政府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協辦單位：</w:t>
      </w:r>
      <w:r>
        <w:rPr>
          <w:rFonts w:ascii="標楷體" w:hAnsi="標楷體" w:cs="Arial" w:eastAsia="標楷體"/>
          <w:sz w:val="30"/>
          <w:szCs w:val="30"/>
        </w:rPr>
        <w:t>中華民國資訊軟體協會、臺北市電腦公會、臺灣區電機電子工業同業公會、臺灣雲端物聯網產業協會、臺灣半導體產業協會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執行單位：</w:t>
      </w:r>
      <w:r>
        <w:rPr>
          <w:rFonts w:ascii="標楷體" w:hAnsi="標楷體" w:cs="Arial" w:eastAsia="標楷體"/>
          <w:sz w:val="30"/>
          <w:szCs w:val="30"/>
        </w:rPr>
        <w:t>財團法人資訊工業策進會</w:t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贊助單位：</w:t>
      </w:r>
      <w:r>
        <w:rPr>
          <w:rFonts w:ascii="標楷體" w:hAnsi="標楷體" w:cs="Arial" w:eastAsia="標楷體"/>
          <w:sz w:val="30"/>
          <w:szCs w:val="30"/>
        </w:rPr>
        <w:t>中華電信、鴻海、臺積、宏碁、中國信託、訊連、玉山銀行、聯發科、玩美、凌群、財團法人資訊工業策進會、財團法人工業技術研究院、財團法人國家中山科學研究院、日月光、悠遊卡公司、遠傳、巨匠</w:t>
      </w:r>
      <w:r>
        <w:rPr>
          <w:rFonts w:eastAsia="標楷體" w:cs="Arial" w:ascii="標楷體" w:hAnsi="標楷體"/>
          <w:sz w:val="30"/>
          <w:szCs w:val="30"/>
        </w:rPr>
        <w:t>&amp;LiveABC</w:t>
      </w:r>
      <w:r>
        <w:rPr>
          <w:rFonts w:ascii="標楷體" w:hAnsi="標楷體" w:cs="Arial" w:eastAsia="標楷體"/>
          <w:sz w:val="30"/>
          <w:szCs w:val="30"/>
        </w:rPr>
        <w:t>、</w:t>
      </w:r>
      <w:r>
        <w:rPr>
          <w:rFonts w:eastAsia="標楷體" w:cs="Arial" w:ascii="標楷體" w:hAnsi="標楷體"/>
          <w:sz w:val="30"/>
          <w:szCs w:val="30"/>
        </w:rPr>
        <w:t>Google</w:t>
      </w:r>
      <w:r>
        <w:rPr>
          <w:rFonts w:ascii="標楷體" w:hAnsi="標楷體" w:cs="Arial" w:eastAsia="標楷體"/>
          <w:sz w:val="30"/>
          <w:szCs w:val="30"/>
        </w:rPr>
        <w:t>、光寶、三菱電機、普萊德、廣達、臺灣大哥大、東電化、東元、趨勢、威強電、威聯通、</w:t>
      </w:r>
      <w:r>
        <w:rPr>
          <w:rFonts w:eastAsia="標楷體" w:cs="Arial" w:ascii="標楷體" w:hAnsi="標楷體"/>
          <w:sz w:val="30"/>
          <w:szCs w:val="30"/>
        </w:rPr>
        <w:t>COMPUTEX</w:t>
      </w:r>
      <w:r>
        <w:rPr>
          <w:rFonts w:ascii="標楷體" w:hAnsi="標楷體" w:cs="Arial" w:eastAsia="標楷體"/>
          <w:sz w:val="30"/>
          <w:szCs w:val="30"/>
        </w:rPr>
        <w:t>、台達、正文、中華民國對外貿易發展協會</w:t>
      </w:r>
      <w:r>
        <w:rPr>
          <w:rFonts w:eastAsia="標楷體" w:cs="Arial" w:ascii="標楷體" w:hAnsi="標楷體"/>
          <w:sz w:val="30"/>
          <w:szCs w:val="30"/>
        </w:rPr>
        <w:t>(</w:t>
      </w:r>
      <w:r>
        <w:rPr>
          <w:rFonts w:ascii="標楷體" w:hAnsi="標楷體" w:cs="Arial" w:eastAsia="標楷體"/>
          <w:sz w:val="30"/>
          <w:szCs w:val="30"/>
        </w:rPr>
        <w:t>臺灣精品</w:t>
      </w:r>
      <w:r>
        <w:rPr>
          <w:rFonts w:eastAsia="標楷體" w:cs="Arial" w:ascii="標楷體" w:hAnsi="標楷體"/>
          <w:sz w:val="30"/>
          <w:szCs w:val="30"/>
        </w:rPr>
        <w:t>)</w:t>
      </w:r>
      <w:r>
        <w:rPr>
          <w:rFonts w:ascii="標楷體" w:hAnsi="標楷體" w:cs="Arial" w:eastAsia="標楷體"/>
          <w:sz w:val="30"/>
          <w:szCs w:val="30"/>
        </w:rPr>
        <w:t>、桃園捷運、育學雲端、財團法人車輛研究測試中心、財團法人生物技術開發中心、財團法人食品工業發展研究所、財團法人金屬工業研發中心、財團法人精密機械研究發展中心、財團法人紡織產業綜合研究所、是方電訊、</w:t>
      </w:r>
      <w:r>
        <w:rPr>
          <w:rFonts w:eastAsia="標楷體" w:cs="Arial" w:ascii="標楷體" w:hAnsi="標楷體"/>
          <w:sz w:val="30"/>
          <w:szCs w:val="30"/>
        </w:rPr>
        <w:t>Cisco</w:t>
      </w:r>
      <w:r>
        <w:rPr>
          <w:rFonts w:ascii="標楷體" w:hAnsi="標楷體" w:cs="Arial" w:eastAsia="標楷體"/>
          <w:sz w:val="30"/>
          <w:szCs w:val="30"/>
        </w:rPr>
        <w:t>、華苓科技、一卡通票證公司、</w:t>
      </w:r>
      <w:r>
        <w:rPr>
          <w:rFonts w:eastAsia="標楷體" w:cs="Arial" w:ascii="標楷體" w:hAnsi="標楷體"/>
          <w:sz w:val="30"/>
          <w:szCs w:val="30"/>
        </w:rPr>
        <w:t>NEC</w:t>
      </w:r>
      <w:r>
        <w:rPr>
          <w:rFonts w:ascii="標楷體" w:hAnsi="標楷體" w:cs="Arial" w:eastAsia="標楷體"/>
          <w:sz w:val="30"/>
          <w:szCs w:val="30"/>
        </w:rPr>
        <w:t>、彪琥、</w:t>
      </w:r>
      <w:r>
        <w:rPr>
          <w:rFonts w:eastAsia="標楷體" w:cs="Arial" w:ascii="標楷體" w:hAnsi="標楷體"/>
          <w:sz w:val="30"/>
          <w:szCs w:val="30"/>
        </w:rPr>
        <w:t>HTC VIVE</w:t>
      </w:r>
      <w:r>
        <w:rPr>
          <w:rFonts w:ascii="標楷體" w:hAnsi="標楷體" w:cs="Arial" w:eastAsia="標楷體"/>
          <w:sz w:val="30"/>
          <w:szCs w:val="30"/>
        </w:rPr>
        <w:t>、財團法人商業發展研究院、財團法人自行車暨健康科技工業研發中心、財團法人中國生產力中心、財團法人中衛發展中心、財團法人鞋類暨運動休閒科技研發中心、財團法人塑膠工業技術發展中心、財團法人醫藥工業技術發展中心、財團法人印刷工業技術研究中心、財團法人船舶暨海洋產業研發中心、財團法人石材暨資源產業研究發展中心、財團法人臺灣創意設計中心、</w:t>
      </w:r>
      <w:r>
        <w:rPr>
          <w:rFonts w:eastAsia="標楷體" w:cs="Arial" w:ascii="標楷體" w:hAnsi="標楷體"/>
          <w:sz w:val="30"/>
          <w:szCs w:val="30"/>
        </w:rPr>
        <w:t>TIEC</w:t>
      </w:r>
    </w:p>
    <w:p>
      <w:pPr>
        <w:pStyle w:val="Normal"/>
        <w:rPr>
          <w:rFonts w:ascii="標楷體" w:hAnsi="標楷體" w:eastAsia="標楷體" w:cs="Arial"/>
          <w:b/>
          <w:b/>
          <w:sz w:val="30"/>
          <w:szCs w:val="30"/>
        </w:rPr>
      </w:pPr>
      <w:r>
        <w:rPr>
          <w:rFonts w:eastAsia="標楷體" w:cs="Arial" w:ascii="標楷體" w:hAnsi="標楷體"/>
          <w:b/>
          <w:sz w:val="30"/>
          <w:szCs w:val="30"/>
        </w:rPr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媒體支持單位：</w:t>
      </w:r>
      <w:r>
        <w:rPr>
          <w:rFonts w:eastAsia="標楷體" w:cs="Arial" w:ascii="標楷體" w:hAnsi="標楷體"/>
          <w:sz w:val="30"/>
          <w:szCs w:val="30"/>
        </w:rPr>
        <w:t>AFP</w:t>
      </w:r>
      <w:r>
        <w:rPr>
          <w:rFonts w:ascii="標楷體" w:hAnsi="標楷體" w:cs="Arial" w:eastAsia="標楷體"/>
          <w:sz w:val="30"/>
          <w:szCs w:val="30"/>
        </w:rPr>
        <w:t>法新社、</w:t>
      </w:r>
      <w:r>
        <w:rPr>
          <w:rFonts w:eastAsia="標楷體" w:cs="Arial" w:ascii="標楷體" w:hAnsi="標楷體"/>
          <w:sz w:val="30"/>
          <w:szCs w:val="30"/>
        </w:rPr>
        <w:t>Bloomberg</w:t>
      </w:r>
      <w:r>
        <w:rPr>
          <w:rFonts w:ascii="標楷體" w:hAnsi="標楷體" w:cs="Arial" w:eastAsia="標楷體"/>
          <w:sz w:val="30"/>
          <w:szCs w:val="30"/>
        </w:rPr>
        <w:t>、數位時代、商業周刊、</w:t>
      </w:r>
      <w:r>
        <w:rPr>
          <w:rFonts w:eastAsia="標楷體" w:cs="Arial" w:ascii="標楷體" w:hAnsi="標楷體"/>
          <w:sz w:val="30"/>
          <w:szCs w:val="30"/>
        </w:rPr>
        <w:t>CIO</w:t>
      </w:r>
      <w:r>
        <w:rPr>
          <w:rFonts w:ascii="標楷體" w:hAnsi="標楷體" w:cs="Arial" w:eastAsia="標楷體"/>
          <w:sz w:val="30"/>
          <w:szCs w:val="30"/>
        </w:rPr>
        <w:t>經理人、</w:t>
      </w:r>
      <w:r>
        <w:rPr>
          <w:rFonts w:eastAsia="標楷體" w:cs="Arial" w:ascii="標楷體" w:hAnsi="標楷體"/>
          <w:sz w:val="30"/>
          <w:szCs w:val="30"/>
        </w:rPr>
        <w:t>Corporate</w:t>
      </w:r>
      <w:r>
        <w:rPr>
          <w:rFonts w:ascii="標楷體" w:hAnsi="標楷體" w:cs="Arial" w:eastAsia="標楷體"/>
          <w:sz w:val="30"/>
          <w:szCs w:val="30"/>
        </w:rPr>
        <w:t>、電子時報、旅天下、臺北市雜誌商業同業公會、</w:t>
      </w:r>
      <w:r>
        <w:rPr>
          <w:rFonts w:eastAsia="標楷體" w:cs="Arial" w:ascii="標楷體" w:hAnsi="標楷體"/>
          <w:sz w:val="30"/>
          <w:szCs w:val="30"/>
        </w:rPr>
        <w:t>Research Stash</w:t>
      </w:r>
      <w:r>
        <w:rPr>
          <w:rFonts w:ascii="標楷體" w:hAnsi="標楷體" w:cs="Arial" w:eastAsia="標楷體"/>
          <w:sz w:val="30"/>
          <w:szCs w:val="30"/>
        </w:rPr>
        <w:t>、聯合報系</w:t>
      </w:r>
    </w:p>
    <w:p>
      <w:pPr>
        <w:pStyle w:val="Normal"/>
        <w:rPr>
          <w:rFonts w:ascii="標楷體" w:hAnsi="標楷體" w:eastAsia="標楷體" w:cs="Arial"/>
          <w:b/>
          <w:b/>
          <w:sz w:val="30"/>
          <w:szCs w:val="30"/>
        </w:rPr>
      </w:pPr>
      <w:r>
        <w:rPr>
          <w:rFonts w:eastAsia="標楷體" w:cs="Arial" w:ascii="標楷體" w:hAnsi="標楷體"/>
          <w:b/>
          <w:sz w:val="30"/>
          <w:szCs w:val="30"/>
        </w:rPr>
      </w:r>
    </w:p>
    <w:p>
      <w:pPr>
        <w:pStyle w:val="Normal"/>
        <w:rPr>
          <w:rFonts w:ascii="標楷體" w:hAnsi="標楷體" w:eastAsia="標楷體" w:cs="Arial"/>
          <w:sz w:val="30"/>
          <w:szCs w:val="30"/>
        </w:rPr>
      </w:pPr>
      <w:r>
        <w:rPr>
          <w:rFonts w:ascii="標楷體" w:hAnsi="標楷體" w:cs="Arial" w:eastAsia="標楷體"/>
          <w:b/>
          <w:sz w:val="30"/>
          <w:szCs w:val="30"/>
        </w:rPr>
        <w:t>支持機構：</w:t>
      </w:r>
      <w:r>
        <w:rPr>
          <w:rFonts w:ascii="標楷體" w:hAnsi="標楷體" w:cs="Arial" w:eastAsia="標楷體"/>
          <w:sz w:val="30"/>
          <w:szCs w:val="30"/>
        </w:rPr>
        <w:t>數位經濟暨產業發展協會、歐洲在臺商務協會、德國經濟辦事處、開放文化基金會、</w:t>
      </w:r>
      <w:r>
        <w:rPr>
          <w:rFonts w:eastAsia="標楷體" w:cs="Arial" w:ascii="標楷體" w:hAnsi="標楷體"/>
          <w:sz w:val="30"/>
          <w:szCs w:val="30"/>
        </w:rPr>
        <w:t>Semi Taiwan</w:t>
      </w:r>
      <w:r>
        <w:rPr>
          <w:rFonts w:ascii="標楷體" w:hAnsi="標楷體" w:cs="Arial" w:eastAsia="標楷體"/>
          <w:sz w:val="30"/>
          <w:szCs w:val="30"/>
        </w:rPr>
        <w:t>、臺灣物聯網聯盟</w:t>
      </w:r>
    </w:p>
    <w:p>
      <w:pPr>
        <w:pStyle w:val="Normal"/>
        <w:rPr>
          <w:rFonts w:ascii="細明體" w:hAnsi="細明體" w:eastAsia="細明體" w:cs="細明體"/>
        </w:rPr>
      </w:pPr>
      <w:r>
        <w:rPr>
          <w:rFonts w:eastAsia="細明體" w:cs="細明體" w:ascii="細明體" w:hAnsi="細明體"/>
        </w:rPr>
      </w:r>
    </w:p>
    <w:sectPr>
      <w:headerReference w:type="default" r:id="rId7"/>
      <w:footerReference w:type="default" r:id="rId8"/>
      <w:type w:val="nextPage"/>
      <w:pgSz w:w="11906" w:h="16838"/>
      <w:pgMar w:left="1474" w:right="1474" w:header="0" w:top="1191" w:footer="720" w:bottom="1135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Georgia">
    <w:charset w:val="88"/>
    <w:family w:val="roman"/>
    <w:pitch w:val="variable"/>
  </w:font>
  <w:font w:name="Calibri">
    <w:charset w:val="88"/>
    <w:family w:val="roman"/>
    <w:pitch w:val="variable"/>
  </w:font>
  <w:font w:name="Arial">
    <w:charset w:val="88"/>
    <w:family w:val="roman"/>
    <w:pitch w:val="variable"/>
  </w:font>
  <w:font w:name="標楷體">
    <w:charset w:val="88"/>
    <w:family w:val="roman"/>
    <w:pitch w:val="variable"/>
  </w:font>
  <w:font w:name="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690684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Normal"/>
      <w:spacing w:before="0" w:after="527"/>
      <w:jc w:val="center"/>
      <w:rPr>
        <w:rFonts w:ascii="細明體" w:hAnsi="細明體" w:eastAsia="細明體" w:cs="細明體"/>
      </w:rPr>
    </w:pPr>
    <w:r>
      <w:rPr>
        <w:rFonts w:eastAsia="細明體" w:cs="細明體" w:ascii="細明體" w:hAnsi="細明體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drawing>
        <wp:anchor behindDoc="1" distT="0" distB="0" distL="114300" distR="120650" simplePos="0" locked="0" layoutInCell="1" allowOverlap="1" relativeHeight="7">
          <wp:simplePos x="0" y="0"/>
          <wp:positionH relativeFrom="column">
            <wp:posOffset>6985</wp:posOffset>
          </wp:positionH>
          <wp:positionV relativeFrom="paragraph">
            <wp:posOffset>180975</wp:posOffset>
          </wp:positionV>
          <wp:extent cx="5688965" cy="671195"/>
          <wp:effectExtent l="0" t="0" r="0" b="0"/>
          <wp:wrapTopAndBottom/>
          <wp:docPr id="1" name="圖片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896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color w:val="000000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新細明體" w:cs="Times New Roman" w:eastAsiaTheme="minorEastAsia"/>
      <w:color w:val="000000"/>
      <w:sz w:val="20"/>
      <w:szCs w:val="20"/>
      <w:lang w:val="en-US" w:eastAsia="zh-TW" w:bidi="ar-SA"/>
    </w:rPr>
  </w:style>
  <w:style w:type="paragraph" w:styleId="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頁首 字元"/>
    <w:basedOn w:val="DefaultParagraphFont"/>
    <w:link w:val="a6"/>
    <w:uiPriority w:val="99"/>
    <w:qFormat/>
    <w:rsid w:val="00cb104d"/>
    <w:rPr/>
  </w:style>
  <w:style w:type="character" w:styleId="Style9" w:customStyle="1">
    <w:name w:val="頁尾 字元"/>
    <w:basedOn w:val="DefaultParagraphFont"/>
    <w:link w:val="a8"/>
    <w:uiPriority w:val="99"/>
    <w:qFormat/>
    <w:rsid w:val="00cb104d"/>
    <w:rPr/>
  </w:style>
  <w:style w:type="character" w:styleId="Style10" w:customStyle="1">
    <w:name w:val="註解方塊文字 字元"/>
    <w:basedOn w:val="DefaultParagraphFont"/>
    <w:link w:val="aa"/>
    <w:uiPriority w:val="99"/>
    <w:semiHidden/>
    <w:qFormat/>
    <w:rsid w:val="00c637c2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character" w:styleId="Style11">
    <w:name w:val="網際網路連結"/>
    <w:rsid w:val="00224188"/>
    <w:rPr>
      <w:color w:val="0000FF"/>
      <w:u w:val="single"/>
    </w:rPr>
  </w:style>
  <w:style w:type="paragraph" w:styleId="Style12">
    <w:name w:val="標題"/>
    <w:basedOn w:val="Normal"/>
    <w:next w:val="Style13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Mangal"/>
    </w:rPr>
  </w:style>
  <w:style w:type="paragraph" w:styleId="Style17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yle18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9">
    <w:name w:val="Header"/>
    <w:basedOn w:val="Normal"/>
    <w:link w:val="a7"/>
    <w:uiPriority w:val="99"/>
    <w:unhideWhenUsed/>
    <w:rsid w:val="00cb104d"/>
    <w:pPr>
      <w:tabs>
        <w:tab w:val="center" w:pos="4153" w:leader="none"/>
        <w:tab w:val="right" w:pos="8306" w:leader="none"/>
      </w:tabs>
      <w:snapToGrid w:val="false"/>
    </w:pPr>
    <w:rPr/>
  </w:style>
  <w:style w:type="paragraph" w:styleId="Style20">
    <w:name w:val="Footer"/>
    <w:basedOn w:val="Normal"/>
    <w:link w:val="a9"/>
    <w:uiPriority w:val="99"/>
    <w:unhideWhenUsed/>
    <w:rsid w:val="00cb104d"/>
    <w:pPr>
      <w:tabs>
        <w:tab w:val="center" w:pos="4153" w:leader="none"/>
        <w:tab w:val="right" w:pos="8306" w:leader="none"/>
      </w:tabs>
      <w:snapToGrid w:val="false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c637c2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188"/>
    <w:pPr>
      <w:widowControl w:val="false"/>
      <w:pBdr/>
      <w:ind w:left="480" w:hanging="0"/>
    </w:pPr>
    <w:rPr>
      <w:rFonts w:ascii="Calibri" w:hAnsi="Calibri" w:eastAsia="新細明體"/>
      <w:color w:val="00000A"/>
      <w:sz w:val="24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ira@jetgo.com.tw" TargetMode="External"/><Relationship Id="rId3" Type="http://schemas.openxmlformats.org/officeDocument/2006/relationships/hyperlink" Target="mailto:angela@jetgo.com.tw" TargetMode="External"/><Relationship Id="rId4" Type="http://schemas.openxmlformats.org/officeDocument/2006/relationships/hyperlink" Target="mailto:alexchang@jetgo.com.tw" TargetMode="External"/><Relationship Id="rId5" Type="http://schemas.openxmlformats.org/officeDocument/2006/relationships/hyperlink" Target="mailto:lilychen@iii.org.tw" TargetMode="External"/><Relationship Id="rId6" Type="http://schemas.openxmlformats.org/officeDocument/2006/relationships/hyperlink" Target="mailto:davidchiang@iii.org.tw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 LibreOffice_project/d54a8868f08a7b39642414cf2c8ef2f228f780cf</Application>
  <Pages>4</Pages>
  <Words>3077</Words>
  <Characters>3751</Characters>
  <CharactersWithSpaces>3862</CharactersWithSpaces>
  <Paragraphs>43</Paragraphs>
  <Company>經濟部工業局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2017-09-10T23:36:00Z</dcterms:created>
  <dc:creator>Jet-Go 劉尹絜</dc:creator>
  <dc:description/>
  <dc:language>zh-TW</dc:language>
  <cp:lastModifiedBy>USER</cp:lastModifiedBy>
  <cp:lastPrinted>2017-09-10T10:48:00Z</cp:lastPrinted>
  <dcterms:modified xsi:type="dcterms:W3CDTF">2017-09-11T09:21:00Z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經濟部工業局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