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9D" w:rsidRPr="006D0B9D" w:rsidRDefault="001404C4" w:rsidP="006D0B9D">
      <w:pPr>
        <w:widowControl/>
        <w:spacing w:line="330" w:lineRule="atLeast"/>
        <w:rPr>
          <w:rFonts w:ascii="新細明體" w:eastAsia="MS Mincho" w:hAnsi="新細明體" w:cs="新細明體"/>
          <w:color w:val="FF0000"/>
          <w:spacing w:val="15"/>
          <w:kern w:val="0"/>
          <w:szCs w:val="24"/>
        </w:rPr>
      </w:pPr>
      <w:bookmarkStart w:id="0" w:name="_GoBack"/>
      <w:bookmarkEnd w:id="0"/>
      <w:r>
        <w:rPr>
          <w:rFonts w:ascii="MS Mincho" w:hAnsi="MS Mincho" w:hint="eastAsia"/>
          <w:color w:val="FF0000"/>
        </w:rPr>
        <w:t>台灣洗錢防制法修正後主要內容如下</w:t>
      </w:r>
      <w:r>
        <w:rPr>
          <w:rFonts w:ascii="MS Mincho" w:hAnsi="MS Mincho" w:hint="eastAsia"/>
          <w:color w:val="FF0000"/>
        </w:rPr>
        <w:t>(2017</w:t>
      </w:r>
      <w:r>
        <w:rPr>
          <w:rFonts w:ascii="MS Mincho" w:hAnsi="MS Mincho" w:hint="eastAsia"/>
          <w:color w:val="FF0000"/>
        </w:rPr>
        <w:t>年</w:t>
      </w:r>
      <w:r>
        <w:rPr>
          <w:rFonts w:ascii="MS Mincho" w:hAnsi="MS Mincho" w:hint="eastAsia"/>
          <w:color w:val="FF0000"/>
        </w:rPr>
        <w:t>6</w:t>
      </w:r>
      <w:r>
        <w:rPr>
          <w:rFonts w:ascii="MS Mincho" w:hAnsi="MS Mincho" w:hint="eastAsia"/>
          <w:color w:val="FF0000"/>
        </w:rPr>
        <w:t>月</w:t>
      </w:r>
      <w:r>
        <w:rPr>
          <w:rFonts w:ascii="MS Mincho" w:hAnsi="MS Mincho" w:hint="eastAsia"/>
          <w:color w:val="FF0000"/>
        </w:rPr>
        <w:t>28</w:t>
      </w:r>
      <w:r>
        <w:rPr>
          <w:rFonts w:ascii="MS Mincho" w:hAnsi="MS Mincho" w:hint="eastAsia"/>
          <w:color w:val="FF0000"/>
        </w:rPr>
        <w:t>日起適用</w:t>
      </w:r>
      <w:r>
        <w:rPr>
          <w:rFonts w:ascii="MS Mincho" w:hAnsi="MS Mincho" w:hint="eastAsia"/>
          <w:color w:val="FF0000"/>
        </w:rPr>
        <w:t>)</w:t>
      </w:r>
    </w:p>
    <w:tbl>
      <w:tblPr>
        <w:tblStyle w:val="a3"/>
        <w:tblW w:w="0" w:type="auto"/>
        <w:tblLook w:val="04A0" w:firstRow="1" w:lastRow="0" w:firstColumn="1" w:lastColumn="0" w:noHBand="0" w:noVBand="1"/>
      </w:tblPr>
      <w:tblGrid>
        <w:gridCol w:w="4181"/>
        <w:gridCol w:w="4181"/>
      </w:tblGrid>
      <w:tr w:rsidR="00615007" w:rsidTr="00615007">
        <w:tc>
          <w:tcPr>
            <w:tcW w:w="4181" w:type="dxa"/>
          </w:tcPr>
          <w:p w:rsidR="00615007" w:rsidRPr="001404C4" w:rsidRDefault="001404C4" w:rsidP="001404C4">
            <w:pPr>
              <w:rPr>
                <w:rFonts w:ascii="細明體" w:eastAsia="細明體" w:hAnsi="細明體" w:cs="細明體"/>
              </w:rPr>
            </w:pPr>
            <w:r>
              <w:rPr>
                <w:rFonts w:ascii="細明體" w:eastAsia="細明體" w:hAnsi="細明體" w:cs="細明體" w:hint="eastAsia"/>
              </w:rPr>
              <w:t>現行(只限於旅客)</w:t>
            </w:r>
          </w:p>
        </w:tc>
        <w:tc>
          <w:tcPr>
            <w:tcW w:w="4181" w:type="dxa"/>
          </w:tcPr>
          <w:p w:rsidR="00615007" w:rsidRPr="00134E13" w:rsidRDefault="001404C4" w:rsidP="001404C4">
            <w:pPr>
              <w:rPr>
                <w:color w:val="FF0000"/>
              </w:rPr>
            </w:pPr>
            <w:r>
              <w:rPr>
                <w:rFonts w:ascii="細明體" w:eastAsia="細明體" w:hAnsi="細明體" w:cs="細明體" w:hint="eastAsia"/>
                <w:color w:val="FF0000"/>
              </w:rPr>
              <w:t>修正後(含旅客及一般貨物、郵寄物品)</w:t>
            </w:r>
          </w:p>
        </w:tc>
      </w:tr>
      <w:tr w:rsidR="00615007" w:rsidTr="00615007">
        <w:tc>
          <w:tcPr>
            <w:tcW w:w="4181" w:type="dxa"/>
          </w:tcPr>
          <w:p w:rsidR="00615007" w:rsidRDefault="001404C4" w:rsidP="00615007">
            <w:pPr>
              <w:ind w:left="960" w:hangingChars="400" w:hanging="960"/>
              <w:rPr>
                <w:rFonts w:ascii="MS Mincho" w:eastAsia="MS Mincho" w:hAnsi="MS Mincho"/>
              </w:rPr>
            </w:pPr>
            <w:r>
              <w:rPr>
                <w:rFonts w:ascii="細明體" w:eastAsia="細明體" w:hAnsi="細明體" w:cs="細明體" w:hint="eastAsia"/>
              </w:rPr>
              <w:t>新臺幣:以10萬元為限。超過限額時應事先向中央銀行申請核准，持憑查驗放行；未經核准不准攜入。</w:t>
            </w:r>
          </w:p>
          <w:p w:rsidR="00615007" w:rsidRPr="001404C4" w:rsidRDefault="001404C4" w:rsidP="001404C4">
            <w:pPr>
              <w:ind w:left="960" w:hangingChars="400" w:hanging="960"/>
              <w:rPr>
                <w:rFonts w:ascii="細明體" w:eastAsia="細明體" w:hAnsi="細明體" w:cs="細明體"/>
              </w:rPr>
            </w:pPr>
            <w:r>
              <w:rPr>
                <w:rFonts w:ascii="細明體" w:eastAsia="細明體" w:hAnsi="細明體" w:cs="細明體" w:hint="eastAsia"/>
              </w:rPr>
              <w:t>外幣:超過</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者，應於入境時向海關申報，未申報或申報不實之超額部分</w:t>
            </w:r>
            <w:r w:rsidR="00D170D2">
              <w:rPr>
                <w:rFonts w:ascii="細明體" w:eastAsia="細明體" w:hAnsi="細明體" w:cs="細明體" w:hint="eastAsia"/>
              </w:rPr>
              <w:t>沒入之。</w:t>
            </w:r>
          </w:p>
          <w:p w:rsidR="00E01E04" w:rsidRDefault="00D170D2" w:rsidP="00615007">
            <w:pPr>
              <w:ind w:left="960" w:hangingChars="400" w:hanging="960"/>
              <w:rPr>
                <w:rFonts w:ascii="MS Mincho" w:eastAsia="MS Mincho" w:hAnsi="MS Mincho"/>
              </w:rPr>
            </w:pPr>
            <w:r>
              <w:rPr>
                <w:rFonts w:ascii="細明體" w:eastAsia="細明體" w:hAnsi="細明體" w:cs="細明體" w:hint="eastAsia"/>
              </w:rPr>
              <w:t>人民幣:攜帶逾2萬元者，應主動向海關申報，未申報或申報不實之超額部分沒入之。</w:t>
            </w:r>
          </w:p>
          <w:p w:rsidR="00412869" w:rsidRDefault="00D170D2" w:rsidP="00615007">
            <w:pPr>
              <w:ind w:left="960" w:hangingChars="400" w:hanging="960"/>
              <w:rPr>
                <w:rFonts w:ascii="MS Mincho" w:eastAsia="MS Mincho" w:hAnsi="MS Mincho"/>
              </w:rPr>
            </w:pPr>
            <w:r>
              <w:rPr>
                <w:rFonts w:ascii="細明體" w:eastAsia="細明體" w:hAnsi="細明體" w:cs="細明體" w:hint="eastAsia"/>
              </w:rPr>
              <w:t>有價證券</w:t>
            </w:r>
            <w:r w:rsidR="00A85558">
              <w:rPr>
                <w:rFonts w:ascii="細明體" w:eastAsia="細明體" w:hAnsi="細明體" w:cs="細明體" w:hint="eastAsia"/>
              </w:rPr>
              <w:t>:(指無記名之旅行支票、其他支票、本票、匯票或得由持有人在本國或外國行使權利之其他有價證券)總面額逾</w:t>
            </w:r>
            <w:proofErr w:type="gramStart"/>
            <w:r w:rsidR="00A85558">
              <w:rPr>
                <w:rFonts w:ascii="細明體" w:eastAsia="細明體" w:hAnsi="細明體" w:cs="細明體" w:hint="eastAsia"/>
              </w:rPr>
              <w:t>等值美幣1萬元</w:t>
            </w:r>
            <w:proofErr w:type="gramEnd"/>
            <w:r w:rsidR="00A85558">
              <w:rPr>
                <w:rFonts w:ascii="細明體" w:eastAsia="細明體" w:hAnsi="細明體" w:cs="細明體" w:hint="eastAsia"/>
              </w:rPr>
              <w:t>者，應向海關申報。未申報或申報不實</w:t>
            </w:r>
            <w:r w:rsidR="006873A6">
              <w:rPr>
                <w:rFonts w:ascii="細明體" w:eastAsia="細明體" w:hAnsi="細明體" w:cs="細明體" w:hint="eastAsia"/>
              </w:rPr>
              <w:t>者，處以相當價額之罰鍰。</w:t>
            </w:r>
          </w:p>
          <w:p w:rsidR="00F716E3" w:rsidRPr="00F716E3" w:rsidRDefault="006873A6" w:rsidP="00F716E3">
            <w:pPr>
              <w:ind w:left="960" w:hangingChars="400" w:hanging="960"/>
              <w:rPr>
                <w:rFonts w:ascii="MS Mincho" w:eastAsia="MS Mincho" w:hAnsi="MS Mincho"/>
              </w:rPr>
            </w:pPr>
            <w:r>
              <w:rPr>
                <w:rFonts w:ascii="細明體" w:eastAsia="細明體" w:hAnsi="細明體" w:cs="細明體" w:hint="eastAsia"/>
              </w:rPr>
              <w:t>黃金:</w:t>
            </w:r>
            <w:proofErr w:type="gramStart"/>
            <w:r>
              <w:rPr>
                <w:rFonts w:ascii="細明體" w:eastAsia="細明體" w:hAnsi="細明體" w:cs="細明體" w:hint="eastAsia"/>
              </w:rPr>
              <w:t>逾美幣</w:t>
            </w:r>
            <w:proofErr w:type="gramEnd"/>
            <w:r>
              <w:rPr>
                <w:rFonts w:ascii="細明體" w:eastAsia="細明體" w:hAnsi="細明體" w:cs="細明體" w:hint="eastAsia"/>
              </w:rPr>
              <w:t>2萬元者，應事先向經濟部國際貿易局申請輸入許可證，並向海關辦理報關驗放手續。</w:t>
            </w:r>
          </w:p>
          <w:p w:rsidR="00615007" w:rsidRDefault="00615007">
            <w:r>
              <w:rPr>
                <w:rFonts w:ascii="MS Mincho" w:eastAsia="MS Mincho" w:hAnsi="MS Mincho" w:hint="eastAsia"/>
              </w:rPr>
              <w:t xml:space="preserve">　　　　</w:t>
            </w:r>
          </w:p>
        </w:tc>
        <w:tc>
          <w:tcPr>
            <w:tcW w:w="4181" w:type="dxa"/>
          </w:tcPr>
          <w:p w:rsidR="006873A6" w:rsidRDefault="006873A6" w:rsidP="006873A6">
            <w:pPr>
              <w:ind w:left="960" w:hangingChars="400" w:hanging="960"/>
              <w:rPr>
                <w:rFonts w:ascii="MS Mincho" w:eastAsia="MS Mincho" w:hAnsi="MS Mincho"/>
              </w:rPr>
            </w:pPr>
            <w:r>
              <w:rPr>
                <w:rFonts w:ascii="細明體" w:eastAsia="細明體" w:hAnsi="細明體" w:cs="細明體" w:hint="eastAsia"/>
              </w:rPr>
              <w:t>新臺幣:以10萬元為限。超過限額時應事先向中央銀行申請核准，持憑查驗放行；</w:t>
            </w:r>
            <w:r w:rsidRPr="006873A6">
              <w:rPr>
                <w:rFonts w:ascii="細明體" w:eastAsia="細明體" w:hAnsi="細明體" w:cs="細明體" w:hint="eastAsia"/>
                <w:color w:val="FF0000"/>
              </w:rPr>
              <w:t>未經許可、未申報或申報不實之超額部分沒入之。</w:t>
            </w:r>
          </w:p>
          <w:p w:rsidR="006873A6" w:rsidRPr="001404C4" w:rsidRDefault="006873A6" w:rsidP="006873A6">
            <w:pPr>
              <w:ind w:left="960" w:hangingChars="400" w:hanging="960"/>
              <w:rPr>
                <w:rFonts w:ascii="細明體" w:eastAsia="細明體" w:hAnsi="細明體" w:cs="細明體"/>
              </w:rPr>
            </w:pPr>
            <w:r>
              <w:rPr>
                <w:rFonts w:ascii="細明體" w:eastAsia="細明體" w:hAnsi="細明體" w:cs="細明體" w:hint="eastAsia"/>
              </w:rPr>
              <w:t>外幣:超過</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者，應於入境時向海關申報，未申報或申報不實之超額部分沒入之。</w:t>
            </w:r>
          </w:p>
          <w:p w:rsidR="006873A6" w:rsidRDefault="006873A6" w:rsidP="006873A6">
            <w:pPr>
              <w:ind w:left="960" w:hangingChars="400" w:hanging="960"/>
              <w:rPr>
                <w:rFonts w:ascii="MS Mincho" w:eastAsia="MS Mincho" w:hAnsi="MS Mincho"/>
              </w:rPr>
            </w:pPr>
            <w:r>
              <w:rPr>
                <w:rFonts w:ascii="細明體" w:eastAsia="細明體" w:hAnsi="細明體" w:cs="細明體" w:hint="eastAsia"/>
              </w:rPr>
              <w:t>人民幣:攜帶逾2萬元者，應主動向海關申報，未申報或申報不實之超額部分沒入之。</w:t>
            </w:r>
          </w:p>
          <w:p w:rsidR="006873A6" w:rsidRDefault="006873A6" w:rsidP="006873A6">
            <w:pPr>
              <w:ind w:left="960" w:hangingChars="400" w:hanging="960"/>
              <w:rPr>
                <w:rFonts w:ascii="MS Mincho" w:eastAsia="MS Mincho" w:hAnsi="MS Mincho"/>
              </w:rPr>
            </w:pPr>
            <w:r>
              <w:rPr>
                <w:rFonts w:ascii="細明體" w:eastAsia="細明體" w:hAnsi="細明體" w:cs="細明體" w:hint="eastAsia"/>
              </w:rPr>
              <w:t>有價證券:(指無記名之旅行支票、其他支票、本票、匯票或得由持有人在本國或外國行使權利之其他有價證券)總面額逾</w:t>
            </w:r>
            <w:proofErr w:type="gramStart"/>
            <w:r>
              <w:rPr>
                <w:rFonts w:ascii="細明體" w:eastAsia="細明體" w:hAnsi="細明體" w:cs="細明體" w:hint="eastAsia"/>
              </w:rPr>
              <w:t>等值美幣1萬元</w:t>
            </w:r>
            <w:proofErr w:type="gramEnd"/>
            <w:r>
              <w:rPr>
                <w:rFonts w:ascii="細明體" w:eastAsia="細明體" w:hAnsi="細明體" w:cs="細明體" w:hint="eastAsia"/>
              </w:rPr>
              <w:t>者，應向海關申報。未申報或申報不實者，處以相當價額之罰鍰或</w:t>
            </w:r>
            <w:r w:rsidRPr="006873A6">
              <w:rPr>
                <w:rFonts w:ascii="細明體" w:eastAsia="細明體" w:hAnsi="細明體" w:cs="細明體" w:hint="eastAsia"/>
                <w:color w:val="FF0000"/>
              </w:rPr>
              <w:t>沒入之</w:t>
            </w:r>
            <w:r>
              <w:rPr>
                <w:rFonts w:ascii="細明體" w:eastAsia="細明體" w:hAnsi="細明體" w:cs="細明體" w:hint="eastAsia"/>
              </w:rPr>
              <w:t>。</w:t>
            </w:r>
          </w:p>
          <w:p w:rsidR="006873A6" w:rsidRPr="00F716E3" w:rsidRDefault="006873A6" w:rsidP="006873A6">
            <w:pPr>
              <w:ind w:left="960" w:hangingChars="400" w:hanging="960"/>
              <w:rPr>
                <w:rFonts w:ascii="MS Mincho" w:eastAsia="MS Mincho" w:hAnsi="MS Mincho"/>
              </w:rPr>
            </w:pPr>
            <w:r>
              <w:rPr>
                <w:rFonts w:ascii="細明體" w:eastAsia="細明體" w:hAnsi="細明體" w:cs="細明體" w:hint="eastAsia"/>
              </w:rPr>
              <w:t>黃金:</w:t>
            </w:r>
            <w:proofErr w:type="gramStart"/>
            <w:r>
              <w:rPr>
                <w:rFonts w:ascii="細明體" w:eastAsia="細明體" w:hAnsi="細明體" w:cs="細明體" w:hint="eastAsia"/>
              </w:rPr>
              <w:t>逾美幣</w:t>
            </w:r>
            <w:proofErr w:type="gramEnd"/>
            <w:r w:rsidRPr="006873A6">
              <w:rPr>
                <w:rFonts w:ascii="細明體" w:eastAsia="細明體" w:hAnsi="細明體" w:cs="細明體" w:hint="eastAsia"/>
                <w:color w:val="FF0000"/>
              </w:rPr>
              <w:t>1萬元</w:t>
            </w:r>
            <w:r>
              <w:rPr>
                <w:rFonts w:ascii="細明體" w:eastAsia="細明體" w:hAnsi="細明體" w:cs="細明體" w:hint="eastAsia"/>
              </w:rPr>
              <w:t>者，應事先向經濟部國際貿易局申請輸入許可證，並向海關辦理報關驗放手續，</w:t>
            </w:r>
            <w:r w:rsidRPr="006873A6">
              <w:rPr>
                <w:rFonts w:ascii="細明體" w:eastAsia="細明體" w:hAnsi="細明體" w:cs="細明體" w:hint="eastAsia"/>
                <w:color w:val="FF0000"/>
              </w:rPr>
              <w:t>未經許可、未申報或申報不實之超額部分沒入之。</w:t>
            </w:r>
          </w:p>
          <w:p w:rsidR="00615007" w:rsidRPr="00E5349C" w:rsidRDefault="006873A6" w:rsidP="00611165">
            <w:pPr>
              <w:ind w:leftChars="-30" w:left="919" w:hangingChars="367" w:hanging="991"/>
            </w:pPr>
            <w:r>
              <w:rPr>
                <w:rFonts w:ascii="細明體" w:eastAsia="細明體" w:hAnsi="細明體" w:cs="細明體" w:hint="eastAsia"/>
                <w:color w:val="FF0000"/>
                <w:spacing w:val="15"/>
                <w:kern w:val="0"/>
                <w:szCs w:val="24"/>
              </w:rPr>
              <w:t>其他有被當成洗錢工具物品</w:t>
            </w:r>
            <w:r w:rsidR="00611165">
              <w:rPr>
                <w:rFonts w:ascii="細明體" w:eastAsia="細明體" w:hAnsi="細明體" w:cs="細明體" w:hint="eastAsia"/>
                <w:color w:val="FF0000"/>
                <w:spacing w:val="15"/>
                <w:kern w:val="0"/>
                <w:szCs w:val="24"/>
              </w:rPr>
              <w:t>:攜帶</w:t>
            </w:r>
            <w:r>
              <w:rPr>
                <w:rFonts w:ascii="細明體" w:eastAsia="細明體" w:hAnsi="細明體" w:cs="細明體" w:hint="eastAsia"/>
                <w:color w:val="FF0000"/>
                <w:spacing w:val="15"/>
                <w:kern w:val="0"/>
                <w:szCs w:val="24"/>
              </w:rPr>
              <w:t>鑽石、寶石、白金</w:t>
            </w:r>
            <w:r w:rsidR="00611165">
              <w:rPr>
                <w:rFonts w:ascii="細明體" w:eastAsia="細明體" w:hAnsi="細明體" w:cs="細明體" w:hint="eastAsia"/>
                <w:color w:val="FF0000"/>
                <w:spacing w:val="15"/>
                <w:kern w:val="0"/>
                <w:szCs w:val="24"/>
              </w:rPr>
              <w:t>(</w:t>
            </w:r>
            <w:r w:rsidR="00611165" w:rsidRPr="00611165">
              <w:rPr>
                <w:rFonts w:ascii="細明體" w:eastAsia="細明體" w:hAnsi="細明體" w:cs="細明體" w:hint="eastAsia"/>
                <w:color w:val="FF0000"/>
                <w:spacing w:val="15"/>
                <w:kern w:val="0"/>
                <w:szCs w:val="24"/>
              </w:rPr>
              <w:t>包含半成品及製成之珠寶首飾</w:t>
            </w:r>
            <w:r w:rsidR="00611165">
              <w:rPr>
                <w:rFonts w:ascii="細明體" w:eastAsia="細明體" w:hAnsi="細明體" w:cs="細明體" w:hint="eastAsia"/>
                <w:color w:val="FF0000"/>
                <w:spacing w:val="15"/>
                <w:kern w:val="0"/>
                <w:szCs w:val="24"/>
              </w:rPr>
              <w:t>)</w:t>
            </w:r>
            <w:r w:rsidR="00DC0B01">
              <w:rPr>
                <w:rFonts w:ascii="細明體" w:eastAsia="細明體" w:hAnsi="細明體" w:cs="細明體" w:hint="eastAsia"/>
                <w:color w:val="FF0000"/>
                <w:spacing w:val="15"/>
                <w:kern w:val="0"/>
                <w:szCs w:val="24"/>
              </w:rPr>
              <w:t>等</w:t>
            </w:r>
            <w:r w:rsidR="00611165">
              <w:rPr>
                <w:rFonts w:ascii="細明體" w:eastAsia="細明體" w:hAnsi="細明體" w:cs="細明體" w:hint="eastAsia"/>
                <w:color w:val="FF0000"/>
                <w:spacing w:val="15"/>
                <w:kern w:val="0"/>
                <w:szCs w:val="24"/>
              </w:rPr>
              <w:t>價值</w:t>
            </w:r>
            <w:r w:rsidR="00DC0B01" w:rsidRPr="00DC0B01">
              <w:rPr>
                <w:rFonts w:ascii="細明體" w:eastAsia="細明體" w:hAnsi="細明體" w:cs="細明體" w:hint="eastAsia"/>
                <w:color w:val="FF0000"/>
              </w:rPr>
              <w:t>逾美幣1萬元者，應向海關申報。未申報或申報不實者，</w:t>
            </w:r>
            <w:r w:rsidR="00DC0B01" w:rsidRPr="006873A6">
              <w:rPr>
                <w:rFonts w:ascii="細明體" w:eastAsia="細明體" w:hAnsi="細明體" w:cs="細明體" w:hint="eastAsia"/>
                <w:color w:val="FF0000"/>
              </w:rPr>
              <w:t>未申報或申報不實之超額部分沒入之。</w:t>
            </w:r>
          </w:p>
        </w:tc>
      </w:tr>
    </w:tbl>
    <w:p w:rsidR="00240524" w:rsidRDefault="00240524" w:rsidP="00240524">
      <w:pPr>
        <w:widowControl/>
        <w:spacing w:line="330" w:lineRule="atLeast"/>
        <w:ind w:left="540" w:hangingChars="200" w:hanging="540"/>
        <w:rPr>
          <w:b/>
          <w:bCs/>
          <w:color w:val="339999"/>
          <w:spacing w:val="15"/>
        </w:rPr>
      </w:pPr>
    </w:p>
    <w:p w:rsidR="00240524" w:rsidRPr="00240524" w:rsidRDefault="00240524" w:rsidP="00240524">
      <w:pPr>
        <w:widowControl/>
        <w:spacing w:line="330" w:lineRule="atLeast"/>
        <w:ind w:left="562" w:hangingChars="200" w:hanging="562"/>
        <w:rPr>
          <w:rFonts w:ascii="MS Mincho" w:eastAsia="MS Mincho" w:hAnsi="MS Mincho" w:cs="Times New Roman"/>
          <w:b/>
          <w:color w:val="C00000"/>
          <w:kern w:val="1"/>
          <w:sz w:val="28"/>
          <w:szCs w:val="28"/>
        </w:rPr>
      </w:pPr>
      <w:r w:rsidRPr="00240524">
        <w:rPr>
          <w:rFonts w:ascii="MS Mincho" w:eastAsia="MS Mincho" w:hAnsi="MS Mincho" w:cs="Times New Roman" w:hint="eastAsia"/>
          <w:b/>
          <w:color w:val="C00000"/>
          <w:kern w:val="1"/>
          <w:sz w:val="28"/>
          <w:szCs w:val="28"/>
        </w:rPr>
        <w:t>参考資料：</w:t>
      </w:r>
    </w:p>
    <w:p w:rsidR="00240524" w:rsidRPr="00240524" w:rsidRDefault="00240524" w:rsidP="00240524">
      <w:pPr>
        <w:widowControl/>
        <w:spacing w:line="330" w:lineRule="atLeast"/>
        <w:ind w:left="542" w:hangingChars="200" w:hanging="542"/>
        <w:rPr>
          <w:rFonts w:eastAsia="MS Mincho"/>
          <w:b/>
          <w:bCs/>
          <w:color w:val="339999"/>
          <w:spacing w:val="15"/>
        </w:rPr>
      </w:pPr>
    </w:p>
    <w:p w:rsidR="00240524" w:rsidRDefault="00240524" w:rsidP="00240524">
      <w:pPr>
        <w:widowControl/>
        <w:spacing w:line="330" w:lineRule="atLeast"/>
        <w:ind w:left="540" w:hangingChars="200" w:hanging="540"/>
        <w:rPr>
          <w:rFonts w:ascii="新細明體" w:eastAsia="新細明體" w:hAnsi="新細明體" w:cs="新細明體"/>
          <w:color w:val="333333"/>
          <w:spacing w:val="15"/>
          <w:kern w:val="0"/>
          <w:szCs w:val="24"/>
        </w:rPr>
      </w:pPr>
      <w:r>
        <w:rPr>
          <w:rFonts w:hint="eastAsia"/>
          <w:b/>
          <w:bCs/>
          <w:color w:val="339999"/>
          <w:spacing w:val="15"/>
        </w:rPr>
        <w:t>海關籲請旅客攜帶超額貨幣現鈔、有價證券及黃金出入國境應誠實申報</w:t>
      </w:r>
      <w:r w:rsidRPr="009E0131">
        <w:rPr>
          <w:rFonts w:ascii="新細明體" w:eastAsia="新細明體" w:hAnsi="新細明體" w:cs="新細明體" w:hint="eastAsia"/>
          <w:color w:val="333333"/>
          <w:spacing w:val="15"/>
          <w:kern w:val="0"/>
          <w:szCs w:val="24"/>
        </w:rPr>
        <w:t>依據105年12月28日總統</w:t>
      </w:r>
      <w:proofErr w:type="gramStart"/>
      <w:r w:rsidRPr="009E0131">
        <w:rPr>
          <w:rFonts w:ascii="新細明體" w:eastAsia="新細明體" w:hAnsi="新細明體" w:cs="新細明體" w:hint="eastAsia"/>
          <w:color w:val="333333"/>
          <w:spacing w:val="15"/>
          <w:kern w:val="0"/>
          <w:szCs w:val="24"/>
        </w:rPr>
        <w:t>華總一義字第10500161531</w:t>
      </w:r>
      <w:proofErr w:type="gramEnd"/>
      <w:r w:rsidRPr="009E0131">
        <w:rPr>
          <w:rFonts w:ascii="新細明體" w:eastAsia="新細明體" w:hAnsi="新細明體" w:cs="新細明體" w:hint="eastAsia"/>
          <w:color w:val="333333"/>
          <w:spacing w:val="15"/>
          <w:kern w:val="0"/>
          <w:szCs w:val="24"/>
        </w:rPr>
        <w:t>號令修正公</w:t>
      </w:r>
    </w:p>
    <w:p w:rsidR="00240524" w:rsidRDefault="00240524" w:rsidP="00240524">
      <w:pPr>
        <w:widowControl/>
        <w:spacing w:line="330" w:lineRule="atLeast"/>
        <w:rPr>
          <w:rFonts w:ascii="新細明體" w:eastAsia="新細明體" w:hAnsi="新細明體" w:cs="新細明體"/>
          <w:color w:val="333333"/>
          <w:spacing w:val="15"/>
          <w:kern w:val="0"/>
          <w:szCs w:val="24"/>
        </w:rPr>
      </w:pPr>
      <w:r w:rsidRPr="009E0131">
        <w:rPr>
          <w:rFonts w:ascii="新細明體" w:eastAsia="新細明體" w:hAnsi="新細明體" w:cs="新細明體" w:hint="eastAsia"/>
          <w:color w:val="333333"/>
          <w:spacing w:val="15"/>
          <w:kern w:val="0"/>
          <w:szCs w:val="24"/>
        </w:rPr>
        <w:lastRenderedPageBreak/>
        <w:t>布洗錢防制法第12條規定，應向海關申報之物，除現行外幣現鈔及有價證券，</w:t>
      </w:r>
      <w:r w:rsidRPr="0060790F">
        <w:rPr>
          <w:rFonts w:ascii="新細明體" w:eastAsia="新細明體" w:hAnsi="新細明體" w:cs="新細明體" w:hint="eastAsia"/>
          <w:color w:val="FF0000"/>
          <w:spacing w:val="15"/>
          <w:kern w:val="0"/>
          <w:szCs w:val="24"/>
        </w:rPr>
        <w:t>增訂香港或澳門發行之貨幣、新臺幣現鈔、黃金，及有被利用進行洗錢之虞之物品；其運送方式，除現行旅客或隨交通工具服務之人員出入境攜帶，增訂包括以貨物運送、快遞、郵寄、或其他相類之方法運送者，自本（106）年6月28日施行。</w:t>
      </w:r>
      <w:r w:rsidRPr="009E0131">
        <w:rPr>
          <w:rFonts w:ascii="新細明體" w:eastAsia="新細明體" w:hAnsi="新細明體" w:cs="新細明體" w:hint="eastAsia"/>
          <w:color w:val="333333"/>
          <w:spacing w:val="15"/>
          <w:kern w:val="0"/>
          <w:szCs w:val="24"/>
        </w:rPr>
        <w:t>為配合法令變更，本部依據洗錢防制法第12條第3項之授權規定，辦理「旅客或隨交通工具服務之人員出入國境攜帶外幣現鈔或有價證券申報及通報辦法」之修正預告作業，並變更名稱為「洗錢防制物品出入境申報及通報辦法」。</w:t>
      </w:r>
    </w:p>
    <w:p w:rsidR="00240524" w:rsidRPr="00790EEA" w:rsidRDefault="00240524" w:rsidP="00240524">
      <w:pPr>
        <w:widowControl/>
        <w:spacing w:before="100" w:beforeAutospacing="1" w:after="100" w:afterAutospacing="1" w:line="330" w:lineRule="atLeast"/>
        <w:rPr>
          <w:rFonts w:ascii="新細明體" w:hAnsi="新細明體" w:cs="新細明體"/>
          <w:color w:val="FF0000"/>
          <w:spacing w:val="15"/>
          <w:kern w:val="0"/>
          <w:szCs w:val="24"/>
        </w:rPr>
      </w:pPr>
      <w:r w:rsidRPr="009E0131">
        <w:rPr>
          <w:rFonts w:ascii="新細明體" w:eastAsia="新細明體" w:hAnsi="新細明體" w:cs="新細明體" w:hint="eastAsia"/>
          <w:color w:val="333333"/>
          <w:spacing w:val="15"/>
          <w:kern w:val="0"/>
          <w:szCs w:val="24"/>
        </w:rPr>
        <w:t xml:space="preserve">　　依據修正前洗錢防制法第10條規定，旅客攜帶總值1萬美元以上之外幣現鈔或總面額1萬美元以上之有價證券出入國境時，出境者應於登機前向海關服務</w:t>
      </w:r>
      <w:proofErr w:type="gramStart"/>
      <w:r w:rsidRPr="009E0131">
        <w:rPr>
          <w:rFonts w:ascii="新細明體" w:eastAsia="新細明體" w:hAnsi="新細明體" w:cs="新細明體" w:hint="eastAsia"/>
          <w:color w:val="333333"/>
          <w:spacing w:val="15"/>
          <w:kern w:val="0"/>
          <w:szCs w:val="24"/>
        </w:rPr>
        <w:t>檯</w:t>
      </w:r>
      <w:proofErr w:type="gramEnd"/>
      <w:r w:rsidRPr="009E0131">
        <w:rPr>
          <w:rFonts w:ascii="新細明體" w:eastAsia="新細明體" w:hAnsi="新細明體" w:cs="新細明體" w:hint="eastAsia"/>
          <w:color w:val="333333"/>
          <w:spacing w:val="15"/>
          <w:kern w:val="0"/>
          <w:szCs w:val="24"/>
        </w:rPr>
        <w:t>填報「旅客或隨交通工具服務之人員攜帶外幣、人民幣、新臺幣或有價證券入出境登記表」</w:t>
      </w:r>
      <w:proofErr w:type="gramStart"/>
      <w:r w:rsidRPr="009E0131">
        <w:rPr>
          <w:rFonts w:ascii="新細明體" w:eastAsia="新細明體" w:hAnsi="新細明體" w:cs="新細明體" w:hint="eastAsia"/>
          <w:color w:val="333333"/>
          <w:spacing w:val="15"/>
          <w:kern w:val="0"/>
          <w:szCs w:val="24"/>
        </w:rPr>
        <w:t>後通關</w:t>
      </w:r>
      <w:proofErr w:type="gramEnd"/>
      <w:r w:rsidRPr="009E0131">
        <w:rPr>
          <w:rFonts w:ascii="新細明體" w:eastAsia="新細明體" w:hAnsi="新細明體" w:cs="新細明體" w:hint="eastAsia"/>
          <w:color w:val="333333"/>
          <w:spacing w:val="15"/>
          <w:kern w:val="0"/>
          <w:szCs w:val="24"/>
        </w:rPr>
        <w:t>，入境者應填報「中華民國海關申報單」及「旅客或隨交通工具服務之人員攜帶外幣、人民幣、新臺幣或有價證券入出境登記表」向海關申報，並經紅線</w:t>
      </w:r>
      <w:proofErr w:type="gramStart"/>
      <w:r w:rsidRPr="009E0131">
        <w:rPr>
          <w:rFonts w:ascii="新細明體" w:eastAsia="新細明體" w:hAnsi="新細明體" w:cs="新細明體" w:hint="eastAsia"/>
          <w:color w:val="333333"/>
          <w:spacing w:val="15"/>
          <w:kern w:val="0"/>
          <w:szCs w:val="24"/>
        </w:rPr>
        <w:t>檯</w:t>
      </w:r>
      <w:proofErr w:type="gramEnd"/>
      <w:r w:rsidRPr="009E0131">
        <w:rPr>
          <w:rFonts w:ascii="新細明體" w:eastAsia="新細明體" w:hAnsi="新細明體" w:cs="新細明體" w:hint="eastAsia"/>
          <w:color w:val="333333"/>
          <w:spacing w:val="15"/>
          <w:kern w:val="0"/>
          <w:szCs w:val="24"/>
        </w:rPr>
        <w:t>查驗通關；未申報或申報不實者，將科處沒入或罰鍰。</w:t>
      </w:r>
      <w:r w:rsidRPr="0060790F">
        <w:rPr>
          <w:rFonts w:ascii="新細明體" w:eastAsia="新細明體" w:hAnsi="新細明體" w:cs="新細明體" w:hint="eastAsia"/>
          <w:color w:val="FF0000"/>
          <w:spacing w:val="15"/>
          <w:kern w:val="0"/>
          <w:szCs w:val="24"/>
        </w:rPr>
        <w:t>自本年6月28日起，除前述外幣現鈔及有價證券外，新增出入國境者攜帶新臺幣10萬元之現鈔，或總價值達1萬美元以上之黃金</w:t>
      </w:r>
      <w:r w:rsidR="00A93496">
        <w:rPr>
          <w:rFonts w:ascii="新細明體" w:eastAsia="新細明體" w:hAnsi="新細明體" w:cs="新細明體" w:hint="eastAsia"/>
          <w:color w:val="FF0000"/>
          <w:spacing w:val="15"/>
          <w:kern w:val="0"/>
          <w:szCs w:val="24"/>
        </w:rPr>
        <w:t>(原規定為價值2萬美元)並新增</w:t>
      </w:r>
      <w:r w:rsidRPr="0060790F">
        <w:rPr>
          <w:rFonts w:ascii="新細明體" w:eastAsia="新細明體" w:hAnsi="新細明體" w:cs="新細明體" w:hint="eastAsia"/>
          <w:color w:val="FF0000"/>
          <w:spacing w:val="15"/>
          <w:kern w:val="0"/>
          <w:szCs w:val="24"/>
        </w:rPr>
        <w:t>有被利用進行洗錢之虞之物品，</w:t>
      </w:r>
      <w:proofErr w:type="gramStart"/>
      <w:r w:rsidRPr="0060790F">
        <w:rPr>
          <w:rFonts w:ascii="新細明體" w:eastAsia="新細明體" w:hAnsi="新細明體" w:cs="新細明體" w:hint="eastAsia"/>
          <w:color w:val="FF0000"/>
          <w:spacing w:val="15"/>
          <w:kern w:val="0"/>
          <w:szCs w:val="24"/>
        </w:rPr>
        <w:t>均應向</w:t>
      </w:r>
      <w:proofErr w:type="gramEnd"/>
      <w:r w:rsidRPr="0060790F">
        <w:rPr>
          <w:rFonts w:ascii="新細明體" w:eastAsia="新細明體" w:hAnsi="新細明體" w:cs="新細明體" w:hint="eastAsia"/>
          <w:color w:val="FF0000"/>
          <w:spacing w:val="15"/>
          <w:kern w:val="0"/>
          <w:szCs w:val="24"/>
        </w:rPr>
        <w:t>海關辦理申報</w:t>
      </w:r>
      <w:r w:rsidR="00790EEA">
        <w:rPr>
          <w:rFonts w:ascii="新細明體" w:eastAsia="新細明體" w:hAnsi="新細明體" w:cs="新細明體" w:hint="eastAsia"/>
          <w:color w:val="FF0000"/>
          <w:spacing w:val="15"/>
          <w:kern w:val="0"/>
          <w:szCs w:val="24"/>
        </w:rPr>
        <w:t>，且須向主管機關事先辦理相關申請</w:t>
      </w:r>
      <w:r w:rsidRPr="0060790F">
        <w:rPr>
          <w:rFonts w:ascii="新細明體" w:eastAsia="新細明體" w:hAnsi="新細明體" w:cs="新細明體" w:hint="eastAsia"/>
          <w:color w:val="FF0000"/>
          <w:spacing w:val="15"/>
          <w:kern w:val="0"/>
          <w:szCs w:val="24"/>
        </w:rPr>
        <w:t>；同時，申報義務並擴大以貨物運送、快遞或郵寄等運送方式</w:t>
      </w:r>
      <w:r w:rsidR="00790EEA">
        <w:rPr>
          <w:rFonts w:ascii="MS Mincho" w:hAnsi="MS Mincho" w:cs="新細明體" w:hint="eastAsia"/>
          <w:color w:val="FF0000"/>
          <w:spacing w:val="15"/>
          <w:kern w:val="0"/>
          <w:szCs w:val="24"/>
        </w:rPr>
        <w:t>。</w:t>
      </w:r>
    </w:p>
    <w:p w:rsidR="00E21C09" w:rsidRPr="00240524" w:rsidRDefault="00240524" w:rsidP="00A93496">
      <w:pPr>
        <w:widowControl/>
        <w:spacing w:before="100" w:beforeAutospacing="1" w:after="100" w:afterAutospacing="1" w:line="330" w:lineRule="atLeast"/>
      </w:pPr>
      <w:r w:rsidRPr="009E0131">
        <w:rPr>
          <w:rFonts w:ascii="新細明體" w:eastAsia="新細明體" w:hAnsi="新細明體" w:cs="新細明體" w:hint="eastAsia"/>
          <w:color w:val="333333"/>
          <w:spacing w:val="15"/>
          <w:kern w:val="0"/>
          <w:szCs w:val="24"/>
        </w:rPr>
        <w:t xml:space="preserve">　　經查海關105年查獲旅客出入國境違規攜帶貨幣現鈔、有價證券或黃金等案件計108件，其中新臺幣45件，約1億680餘萬元，黃金7件計10公斤，約市值新臺幣1,240餘萬元，未來新法施行後，類此案件將分別科處</w:t>
      </w:r>
      <w:r w:rsidRPr="008D4035">
        <w:rPr>
          <w:rFonts w:ascii="新細明體" w:eastAsia="新細明體" w:hAnsi="新細明體" w:cs="新細明體" w:hint="eastAsia"/>
          <w:color w:val="FF0000"/>
          <w:spacing w:val="15"/>
          <w:kern w:val="0"/>
          <w:szCs w:val="24"/>
        </w:rPr>
        <w:t>沒入或罰鍰</w:t>
      </w:r>
      <w:r w:rsidRPr="009E0131">
        <w:rPr>
          <w:rFonts w:ascii="新細明體" w:eastAsia="新細明體" w:hAnsi="新細明體" w:cs="新細明體" w:hint="eastAsia"/>
          <w:color w:val="333333"/>
          <w:spacing w:val="15"/>
          <w:kern w:val="0"/>
          <w:szCs w:val="24"/>
        </w:rPr>
        <w:t>。</w:t>
      </w:r>
    </w:p>
    <w:sectPr w:rsidR="00E21C09" w:rsidRPr="002405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C5" w:rsidRDefault="007757C5" w:rsidP="00780D71">
      <w:r>
        <w:separator/>
      </w:r>
    </w:p>
  </w:endnote>
  <w:endnote w:type="continuationSeparator" w:id="0">
    <w:p w:rsidR="007757C5" w:rsidRDefault="007757C5" w:rsidP="007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C5" w:rsidRDefault="007757C5" w:rsidP="00780D71">
      <w:r>
        <w:separator/>
      </w:r>
    </w:p>
  </w:footnote>
  <w:footnote w:type="continuationSeparator" w:id="0">
    <w:p w:rsidR="007757C5" w:rsidRDefault="007757C5" w:rsidP="0078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31"/>
    <w:rsid w:val="00015EF9"/>
    <w:rsid w:val="000B166C"/>
    <w:rsid w:val="00117742"/>
    <w:rsid w:val="00134E13"/>
    <w:rsid w:val="001404C4"/>
    <w:rsid w:val="00240524"/>
    <w:rsid w:val="00242CC4"/>
    <w:rsid w:val="00382BD0"/>
    <w:rsid w:val="00412869"/>
    <w:rsid w:val="004C715A"/>
    <w:rsid w:val="004C7BD8"/>
    <w:rsid w:val="0060790F"/>
    <w:rsid w:val="00611165"/>
    <w:rsid w:val="00615007"/>
    <w:rsid w:val="00683592"/>
    <w:rsid w:val="006873A6"/>
    <w:rsid w:val="006D0B9D"/>
    <w:rsid w:val="00730297"/>
    <w:rsid w:val="007757C5"/>
    <w:rsid w:val="00780D71"/>
    <w:rsid w:val="00790EEA"/>
    <w:rsid w:val="008D4035"/>
    <w:rsid w:val="0094457A"/>
    <w:rsid w:val="009E0131"/>
    <w:rsid w:val="00A85558"/>
    <w:rsid w:val="00A93496"/>
    <w:rsid w:val="00AC23FB"/>
    <w:rsid w:val="00B42AD4"/>
    <w:rsid w:val="00B50165"/>
    <w:rsid w:val="00B764E8"/>
    <w:rsid w:val="00BB7792"/>
    <w:rsid w:val="00C72A8F"/>
    <w:rsid w:val="00C97DCF"/>
    <w:rsid w:val="00D170D2"/>
    <w:rsid w:val="00D5637C"/>
    <w:rsid w:val="00D70A8B"/>
    <w:rsid w:val="00DC0B01"/>
    <w:rsid w:val="00E01E04"/>
    <w:rsid w:val="00E21C09"/>
    <w:rsid w:val="00E5349C"/>
    <w:rsid w:val="00EE268A"/>
    <w:rsid w:val="00F71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6164">
      <w:bodyDiv w:val="1"/>
      <w:marLeft w:val="0"/>
      <w:marRight w:val="0"/>
      <w:marTop w:val="0"/>
      <w:marBottom w:val="0"/>
      <w:divBdr>
        <w:top w:val="none" w:sz="0" w:space="0" w:color="auto"/>
        <w:left w:val="none" w:sz="0" w:space="0" w:color="auto"/>
        <w:bottom w:val="none" w:sz="0" w:space="0" w:color="auto"/>
        <w:right w:val="none" w:sz="0" w:space="0" w:color="auto"/>
      </w:divBdr>
      <w:divsChild>
        <w:div w:id="1145779609">
          <w:marLeft w:val="0"/>
          <w:marRight w:val="0"/>
          <w:marTop w:val="0"/>
          <w:marBottom w:val="0"/>
          <w:divBdr>
            <w:top w:val="none" w:sz="0" w:space="0" w:color="auto"/>
            <w:left w:val="none" w:sz="0" w:space="0" w:color="auto"/>
            <w:bottom w:val="none" w:sz="0" w:space="0" w:color="auto"/>
            <w:right w:val="none" w:sz="0" w:space="0" w:color="auto"/>
          </w:divBdr>
          <w:divsChild>
            <w:div w:id="1014302986">
              <w:marLeft w:val="0"/>
              <w:marRight w:val="0"/>
              <w:marTop w:val="0"/>
              <w:marBottom w:val="0"/>
              <w:divBdr>
                <w:top w:val="none" w:sz="0" w:space="0" w:color="auto"/>
                <w:left w:val="none" w:sz="0" w:space="0" w:color="auto"/>
                <w:bottom w:val="none" w:sz="0" w:space="0" w:color="auto"/>
                <w:right w:val="none" w:sz="0" w:space="0" w:color="auto"/>
              </w:divBdr>
              <w:divsChild>
                <w:div w:id="1975869652">
                  <w:marLeft w:val="0"/>
                  <w:marRight w:val="0"/>
                  <w:marTop w:val="0"/>
                  <w:marBottom w:val="0"/>
                  <w:divBdr>
                    <w:top w:val="none" w:sz="0" w:space="0" w:color="auto"/>
                    <w:left w:val="none" w:sz="0" w:space="0" w:color="auto"/>
                    <w:bottom w:val="none" w:sz="0" w:space="0" w:color="auto"/>
                    <w:right w:val="none" w:sz="0" w:space="0" w:color="auto"/>
                  </w:divBdr>
                  <w:divsChild>
                    <w:div w:id="44106929">
                      <w:marLeft w:val="0"/>
                      <w:marRight w:val="0"/>
                      <w:marTop w:val="0"/>
                      <w:marBottom w:val="0"/>
                      <w:divBdr>
                        <w:top w:val="none" w:sz="0" w:space="0" w:color="auto"/>
                        <w:left w:val="none" w:sz="0" w:space="0" w:color="auto"/>
                        <w:bottom w:val="none" w:sz="0" w:space="0" w:color="auto"/>
                        <w:right w:val="none" w:sz="0" w:space="0" w:color="auto"/>
                      </w:divBdr>
                      <w:divsChild>
                        <w:div w:id="682174633">
                          <w:marLeft w:val="0"/>
                          <w:marRight w:val="0"/>
                          <w:marTop w:val="0"/>
                          <w:marBottom w:val="0"/>
                          <w:divBdr>
                            <w:top w:val="none" w:sz="0" w:space="0" w:color="auto"/>
                            <w:left w:val="none" w:sz="0" w:space="0" w:color="auto"/>
                            <w:bottom w:val="none" w:sz="0" w:space="0" w:color="auto"/>
                            <w:right w:val="none" w:sz="0" w:space="0" w:color="auto"/>
                          </w:divBdr>
                          <w:divsChild>
                            <w:div w:id="1596278676">
                              <w:marLeft w:val="150"/>
                              <w:marRight w:val="0"/>
                              <w:marTop w:val="0"/>
                              <w:marBottom w:val="0"/>
                              <w:divBdr>
                                <w:top w:val="none" w:sz="0" w:space="0" w:color="auto"/>
                                <w:left w:val="none" w:sz="0" w:space="0" w:color="auto"/>
                                <w:bottom w:val="none" w:sz="0" w:space="0" w:color="auto"/>
                                <w:right w:val="none" w:sz="0" w:space="0" w:color="auto"/>
                              </w:divBdr>
                              <w:divsChild>
                                <w:div w:id="5836836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test72</dc:creator>
  <cp:lastModifiedBy>Katase</cp:lastModifiedBy>
  <cp:revision>2</cp:revision>
  <cp:lastPrinted>2017-06-09T05:43:00Z</cp:lastPrinted>
  <dcterms:created xsi:type="dcterms:W3CDTF">2017-06-12T04:01:00Z</dcterms:created>
  <dcterms:modified xsi:type="dcterms:W3CDTF">2017-06-12T04:01:00Z</dcterms:modified>
</cp:coreProperties>
</file>