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B9D" w:rsidRPr="006D0B9D" w:rsidRDefault="001404C4" w:rsidP="006D0B9D">
      <w:pPr>
        <w:widowControl/>
        <w:spacing w:line="330" w:lineRule="atLeast"/>
        <w:rPr>
          <w:rFonts w:ascii="新細明體" w:eastAsia="MS Mincho" w:hAnsi="新細明體" w:cs="新細明體"/>
          <w:color w:val="FF0000"/>
          <w:spacing w:val="15"/>
          <w:kern w:val="0"/>
          <w:szCs w:val="24"/>
        </w:rPr>
      </w:pPr>
      <w:r>
        <w:rPr>
          <w:rFonts w:ascii="MS Mincho" w:hAnsi="MS Mincho" w:hint="eastAsia"/>
          <w:color w:val="FF0000"/>
        </w:rPr>
        <w:t>台灣洗錢防制法修正後主要內容如下</w:t>
      </w:r>
      <w:r>
        <w:rPr>
          <w:rFonts w:ascii="MS Mincho" w:hAnsi="MS Mincho" w:hint="eastAsia"/>
          <w:color w:val="FF0000"/>
        </w:rPr>
        <w:t>(2017</w:t>
      </w:r>
      <w:r>
        <w:rPr>
          <w:rFonts w:ascii="MS Mincho" w:hAnsi="MS Mincho" w:hint="eastAsia"/>
          <w:color w:val="FF0000"/>
        </w:rPr>
        <w:t>年</w:t>
      </w:r>
      <w:r>
        <w:rPr>
          <w:rFonts w:ascii="MS Mincho" w:hAnsi="MS Mincho" w:hint="eastAsia"/>
          <w:color w:val="FF0000"/>
        </w:rPr>
        <w:t>6</w:t>
      </w:r>
      <w:r>
        <w:rPr>
          <w:rFonts w:ascii="MS Mincho" w:hAnsi="MS Mincho" w:hint="eastAsia"/>
          <w:color w:val="FF0000"/>
        </w:rPr>
        <w:t>月</w:t>
      </w:r>
      <w:r>
        <w:rPr>
          <w:rFonts w:ascii="MS Mincho" w:hAnsi="MS Mincho" w:hint="eastAsia"/>
          <w:color w:val="FF0000"/>
        </w:rPr>
        <w:t>28</w:t>
      </w:r>
      <w:r>
        <w:rPr>
          <w:rFonts w:ascii="MS Mincho" w:hAnsi="MS Mincho" w:hint="eastAsia"/>
          <w:color w:val="FF0000"/>
        </w:rPr>
        <w:t>日起適用</w:t>
      </w:r>
      <w:r>
        <w:rPr>
          <w:rFonts w:ascii="MS Mincho" w:hAnsi="MS Mincho" w:hint="eastAsia"/>
          <w:color w:val="FF0000"/>
        </w:rPr>
        <w:t>)</w:t>
      </w:r>
    </w:p>
    <w:tbl>
      <w:tblPr>
        <w:tblStyle w:val="a3"/>
        <w:tblW w:w="0" w:type="auto"/>
        <w:tblLook w:val="04A0" w:firstRow="1" w:lastRow="0" w:firstColumn="1" w:lastColumn="0" w:noHBand="0" w:noVBand="1"/>
      </w:tblPr>
      <w:tblGrid>
        <w:gridCol w:w="4181"/>
        <w:gridCol w:w="4181"/>
      </w:tblGrid>
      <w:tr w:rsidR="00615007" w:rsidTr="00615007">
        <w:tc>
          <w:tcPr>
            <w:tcW w:w="4181" w:type="dxa"/>
          </w:tcPr>
          <w:p w:rsidR="00615007" w:rsidRPr="001404C4" w:rsidRDefault="001404C4" w:rsidP="001404C4">
            <w:pPr>
              <w:rPr>
                <w:rFonts w:ascii="細明體" w:eastAsia="細明體" w:hAnsi="細明體" w:cs="細明體"/>
              </w:rPr>
            </w:pPr>
            <w:r>
              <w:rPr>
                <w:rFonts w:ascii="細明體" w:eastAsia="細明體" w:hAnsi="細明體" w:cs="細明體" w:hint="eastAsia"/>
              </w:rPr>
              <w:t>現行(只限於旅客)</w:t>
            </w:r>
          </w:p>
        </w:tc>
        <w:tc>
          <w:tcPr>
            <w:tcW w:w="4181" w:type="dxa"/>
          </w:tcPr>
          <w:p w:rsidR="00615007" w:rsidRPr="00134E13" w:rsidRDefault="001404C4" w:rsidP="001404C4">
            <w:pPr>
              <w:rPr>
                <w:color w:val="FF0000"/>
              </w:rPr>
            </w:pPr>
            <w:r>
              <w:rPr>
                <w:rFonts w:ascii="細明體" w:eastAsia="細明體" w:hAnsi="細明體" w:cs="細明體" w:hint="eastAsia"/>
                <w:color w:val="FF0000"/>
              </w:rPr>
              <w:t>修正後(含旅客及一般貨物、郵寄物品)</w:t>
            </w:r>
          </w:p>
        </w:tc>
      </w:tr>
      <w:tr w:rsidR="00615007" w:rsidTr="00615007">
        <w:tc>
          <w:tcPr>
            <w:tcW w:w="4181" w:type="dxa"/>
          </w:tcPr>
          <w:p w:rsidR="00615007" w:rsidRDefault="001404C4" w:rsidP="00615007">
            <w:pPr>
              <w:ind w:left="960" w:hangingChars="400" w:hanging="960"/>
              <w:rPr>
                <w:rFonts w:ascii="MS Mincho" w:eastAsia="MS Mincho" w:hAnsi="MS Mincho"/>
              </w:rPr>
            </w:pPr>
            <w:r>
              <w:rPr>
                <w:rFonts w:ascii="細明體" w:eastAsia="細明體" w:hAnsi="細明體" w:cs="細明體" w:hint="eastAsia"/>
              </w:rPr>
              <w:t>新臺幣:以10萬元為限。超過限額時應事先向中央銀行申請核准，持憑查驗放行；未經核准不准攜入。</w:t>
            </w:r>
          </w:p>
          <w:p w:rsidR="00615007" w:rsidRPr="001404C4" w:rsidRDefault="001404C4" w:rsidP="001404C4">
            <w:pPr>
              <w:ind w:left="960" w:hangingChars="400" w:hanging="960"/>
              <w:rPr>
                <w:rFonts w:ascii="細明體" w:eastAsia="細明體" w:hAnsi="細明體" w:cs="細明體"/>
              </w:rPr>
            </w:pPr>
            <w:r>
              <w:rPr>
                <w:rFonts w:ascii="細明體" w:eastAsia="細明體" w:hAnsi="細明體" w:cs="細明體" w:hint="eastAsia"/>
              </w:rPr>
              <w:t>外幣:超過</w:t>
            </w:r>
            <w:proofErr w:type="gramStart"/>
            <w:r>
              <w:rPr>
                <w:rFonts w:ascii="細明體" w:eastAsia="細明體" w:hAnsi="細明體" w:cs="細明體" w:hint="eastAsia"/>
              </w:rPr>
              <w:t>等值美幣1萬元</w:t>
            </w:r>
            <w:proofErr w:type="gramEnd"/>
            <w:r>
              <w:rPr>
                <w:rFonts w:ascii="細明體" w:eastAsia="細明體" w:hAnsi="細明體" w:cs="細明體" w:hint="eastAsia"/>
              </w:rPr>
              <w:t>者，應於入境時向海關申報，未申報或申報不實之超額部分</w:t>
            </w:r>
            <w:r w:rsidR="00D170D2">
              <w:rPr>
                <w:rFonts w:ascii="細明體" w:eastAsia="細明體" w:hAnsi="細明體" w:cs="細明體" w:hint="eastAsia"/>
              </w:rPr>
              <w:t>沒入之。</w:t>
            </w:r>
          </w:p>
          <w:p w:rsidR="00E01E04" w:rsidRDefault="00D170D2" w:rsidP="00615007">
            <w:pPr>
              <w:ind w:left="960" w:hangingChars="400" w:hanging="960"/>
              <w:rPr>
                <w:rFonts w:ascii="MS Mincho" w:eastAsia="MS Mincho" w:hAnsi="MS Mincho"/>
              </w:rPr>
            </w:pPr>
            <w:r>
              <w:rPr>
                <w:rFonts w:ascii="細明體" w:eastAsia="細明體" w:hAnsi="細明體" w:cs="細明體" w:hint="eastAsia"/>
              </w:rPr>
              <w:t>人民幣:攜帶逾2萬元者，應主動向海關申報，未申報或申報不實之超額部分沒入之。</w:t>
            </w:r>
          </w:p>
          <w:p w:rsidR="00412869" w:rsidRDefault="00D170D2" w:rsidP="00615007">
            <w:pPr>
              <w:ind w:left="960" w:hangingChars="400" w:hanging="960"/>
              <w:rPr>
                <w:rFonts w:ascii="MS Mincho" w:eastAsia="MS Mincho" w:hAnsi="MS Mincho"/>
              </w:rPr>
            </w:pPr>
            <w:r>
              <w:rPr>
                <w:rFonts w:ascii="細明體" w:eastAsia="細明體" w:hAnsi="細明體" w:cs="細明體" w:hint="eastAsia"/>
              </w:rPr>
              <w:t>有價證券</w:t>
            </w:r>
            <w:r w:rsidR="00A85558">
              <w:rPr>
                <w:rFonts w:ascii="細明體" w:eastAsia="細明體" w:hAnsi="細明體" w:cs="細明體" w:hint="eastAsia"/>
              </w:rPr>
              <w:t>:(指無記名之旅行支票、其他支票、本票、匯票或得由持有人在本國或外國行使權利之其他有價證券)總面額逾</w:t>
            </w:r>
            <w:proofErr w:type="gramStart"/>
            <w:r w:rsidR="00A85558">
              <w:rPr>
                <w:rFonts w:ascii="細明體" w:eastAsia="細明體" w:hAnsi="細明體" w:cs="細明體" w:hint="eastAsia"/>
              </w:rPr>
              <w:t>等值美幣1萬元</w:t>
            </w:r>
            <w:proofErr w:type="gramEnd"/>
            <w:r w:rsidR="00A85558">
              <w:rPr>
                <w:rFonts w:ascii="細明體" w:eastAsia="細明體" w:hAnsi="細明體" w:cs="細明體" w:hint="eastAsia"/>
              </w:rPr>
              <w:t>者，應向海關申報。未申報或申報不實</w:t>
            </w:r>
            <w:r w:rsidR="006873A6">
              <w:rPr>
                <w:rFonts w:ascii="細明體" w:eastAsia="細明體" w:hAnsi="細明體" w:cs="細明體" w:hint="eastAsia"/>
              </w:rPr>
              <w:t>者，處以相當價額之罰鍰。</w:t>
            </w:r>
          </w:p>
          <w:p w:rsidR="00F716E3" w:rsidRPr="00F716E3" w:rsidRDefault="006873A6" w:rsidP="00F716E3">
            <w:pPr>
              <w:ind w:left="960" w:hangingChars="400" w:hanging="960"/>
              <w:rPr>
                <w:rFonts w:ascii="MS Mincho" w:eastAsia="MS Mincho" w:hAnsi="MS Mincho"/>
              </w:rPr>
            </w:pPr>
            <w:r>
              <w:rPr>
                <w:rFonts w:ascii="細明體" w:eastAsia="細明體" w:hAnsi="細明體" w:cs="細明體" w:hint="eastAsia"/>
              </w:rPr>
              <w:t>黃金:</w:t>
            </w:r>
            <w:proofErr w:type="gramStart"/>
            <w:r>
              <w:rPr>
                <w:rFonts w:ascii="細明體" w:eastAsia="細明體" w:hAnsi="細明體" w:cs="細明體" w:hint="eastAsia"/>
              </w:rPr>
              <w:t>逾美幣</w:t>
            </w:r>
            <w:proofErr w:type="gramEnd"/>
            <w:r>
              <w:rPr>
                <w:rFonts w:ascii="細明體" w:eastAsia="細明體" w:hAnsi="細明體" w:cs="細明體" w:hint="eastAsia"/>
              </w:rPr>
              <w:t>2萬元者，應事先向經濟部國際貿易局申請輸入許可證，並向海關辦理報關驗放手續。</w:t>
            </w:r>
          </w:p>
          <w:p w:rsidR="00615007" w:rsidRDefault="00615007">
            <w:r>
              <w:rPr>
                <w:rFonts w:ascii="MS Mincho" w:eastAsia="MS Mincho" w:hAnsi="MS Mincho" w:hint="eastAsia"/>
              </w:rPr>
              <w:t xml:space="preserve">　　　　</w:t>
            </w:r>
          </w:p>
        </w:tc>
        <w:tc>
          <w:tcPr>
            <w:tcW w:w="4181" w:type="dxa"/>
          </w:tcPr>
          <w:p w:rsidR="006873A6" w:rsidRDefault="006873A6" w:rsidP="006873A6">
            <w:pPr>
              <w:ind w:left="960" w:hangingChars="400" w:hanging="960"/>
              <w:rPr>
                <w:rFonts w:ascii="MS Mincho" w:eastAsia="MS Mincho" w:hAnsi="MS Mincho"/>
              </w:rPr>
            </w:pPr>
            <w:r>
              <w:rPr>
                <w:rFonts w:ascii="細明體" w:eastAsia="細明體" w:hAnsi="細明體" w:cs="細明體" w:hint="eastAsia"/>
              </w:rPr>
              <w:t>新臺幣:以10萬元為限。超過限額時應事先向中央銀行申請核准，持憑查驗放行；</w:t>
            </w:r>
            <w:r w:rsidRPr="006873A6">
              <w:rPr>
                <w:rFonts w:ascii="細明體" w:eastAsia="細明體" w:hAnsi="細明體" w:cs="細明體" w:hint="eastAsia"/>
                <w:color w:val="FF0000"/>
              </w:rPr>
              <w:t>未經許可、未申報或申報不實之超額部分沒入之。</w:t>
            </w:r>
          </w:p>
          <w:p w:rsidR="006873A6" w:rsidRPr="001404C4" w:rsidRDefault="006873A6" w:rsidP="006873A6">
            <w:pPr>
              <w:ind w:left="960" w:hangingChars="400" w:hanging="960"/>
              <w:rPr>
                <w:rFonts w:ascii="細明體" w:eastAsia="細明體" w:hAnsi="細明體" w:cs="細明體"/>
              </w:rPr>
            </w:pPr>
            <w:r>
              <w:rPr>
                <w:rFonts w:ascii="細明體" w:eastAsia="細明體" w:hAnsi="細明體" w:cs="細明體" w:hint="eastAsia"/>
              </w:rPr>
              <w:t>外幣</w:t>
            </w:r>
            <w:r w:rsidR="00B60CF5">
              <w:rPr>
                <w:rFonts w:ascii="細明體" w:eastAsia="細明體" w:hAnsi="細明體" w:cs="細明體" w:hint="eastAsia"/>
              </w:rPr>
              <w:t>(含香港及澳門貨幣)</w:t>
            </w:r>
            <w:r>
              <w:rPr>
                <w:rFonts w:ascii="細明體" w:eastAsia="細明體" w:hAnsi="細明體" w:cs="細明體" w:hint="eastAsia"/>
              </w:rPr>
              <w:t>:超過</w:t>
            </w:r>
            <w:proofErr w:type="gramStart"/>
            <w:r>
              <w:rPr>
                <w:rFonts w:ascii="細明體" w:eastAsia="細明體" w:hAnsi="細明體" w:cs="細明體" w:hint="eastAsia"/>
              </w:rPr>
              <w:t>等值美幣1萬元</w:t>
            </w:r>
            <w:proofErr w:type="gramEnd"/>
            <w:r>
              <w:rPr>
                <w:rFonts w:ascii="細明體" w:eastAsia="細明體" w:hAnsi="細明體" w:cs="細明體" w:hint="eastAsia"/>
              </w:rPr>
              <w:t>者，應於入境時向海關申報，未申報或申報不實之超額部分沒入之。</w:t>
            </w:r>
          </w:p>
          <w:p w:rsidR="006873A6" w:rsidRDefault="006873A6" w:rsidP="006873A6">
            <w:pPr>
              <w:ind w:left="960" w:hangingChars="400" w:hanging="960"/>
              <w:rPr>
                <w:rFonts w:ascii="MS Mincho" w:eastAsia="MS Mincho" w:hAnsi="MS Mincho"/>
              </w:rPr>
            </w:pPr>
            <w:r>
              <w:rPr>
                <w:rFonts w:ascii="細明體" w:eastAsia="細明體" w:hAnsi="細明體" w:cs="細明體" w:hint="eastAsia"/>
              </w:rPr>
              <w:t>人民幣:攜帶逾2萬元者，應主動向海關申報，未申報或申報不實之超額部分沒入之。</w:t>
            </w:r>
          </w:p>
          <w:p w:rsidR="006873A6" w:rsidRDefault="006873A6" w:rsidP="006873A6">
            <w:pPr>
              <w:ind w:left="960" w:hangingChars="400" w:hanging="960"/>
              <w:rPr>
                <w:rFonts w:ascii="MS Mincho" w:eastAsia="MS Mincho" w:hAnsi="MS Mincho"/>
              </w:rPr>
            </w:pPr>
            <w:r>
              <w:rPr>
                <w:rFonts w:ascii="細明體" w:eastAsia="細明體" w:hAnsi="細明體" w:cs="細明體" w:hint="eastAsia"/>
              </w:rPr>
              <w:t>有價證券:(指無記名之旅行支票、其他支票、本票、匯票或得由持有人在本國或外國行使權利之其他有價證券)總面額逾</w:t>
            </w:r>
            <w:proofErr w:type="gramStart"/>
            <w:r>
              <w:rPr>
                <w:rFonts w:ascii="細明體" w:eastAsia="細明體" w:hAnsi="細明體" w:cs="細明體" w:hint="eastAsia"/>
              </w:rPr>
              <w:t>等值美幣1萬元</w:t>
            </w:r>
            <w:proofErr w:type="gramEnd"/>
            <w:r>
              <w:rPr>
                <w:rFonts w:ascii="細明體" w:eastAsia="細明體" w:hAnsi="細明體" w:cs="細明體" w:hint="eastAsia"/>
              </w:rPr>
              <w:t>者，應向海關申報。未申報或申報不實者，處以相當價額之罰鍰。</w:t>
            </w:r>
          </w:p>
          <w:p w:rsidR="006873A6" w:rsidRPr="00F716E3" w:rsidRDefault="006873A6" w:rsidP="006873A6">
            <w:pPr>
              <w:ind w:left="960" w:hangingChars="400" w:hanging="960"/>
              <w:rPr>
                <w:rFonts w:ascii="MS Mincho" w:eastAsia="MS Mincho" w:hAnsi="MS Mincho"/>
              </w:rPr>
            </w:pPr>
            <w:r>
              <w:rPr>
                <w:rFonts w:ascii="細明體" w:eastAsia="細明體" w:hAnsi="細明體" w:cs="細明體" w:hint="eastAsia"/>
              </w:rPr>
              <w:t>黃金:</w:t>
            </w:r>
            <w:proofErr w:type="gramStart"/>
            <w:r>
              <w:rPr>
                <w:rFonts w:ascii="細明體" w:eastAsia="細明體" w:hAnsi="細明體" w:cs="細明體" w:hint="eastAsia"/>
              </w:rPr>
              <w:t>逾美幣</w:t>
            </w:r>
            <w:proofErr w:type="gramEnd"/>
            <w:r w:rsidR="00B60CF5" w:rsidRPr="00B60CF5">
              <w:rPr>
                <w:rFonts w:ascii="細明體" w:eastAsia="細明體" w:hAnsi="細明體" w:cs="細明體" w:hint="eastAsia"/>
              </w:rPr>
              <w:t>2</w:t>
            </w:r>
            <w:r w:rsidRPr="00B60CF5">
              <w:rPr>
                <w:rFonts w:ascii="細明體" w:eastAsia="細明體" w:hAnsi="細明體" w:cs="細明體" w:hint="eastAsia"/>
              </w:rPr>
              <w:t>萬元</w:t>
            </w:r>
            <w:r>
              <w:rPr>
                <w:rFonts w:ascii="細明體" w:eastAsia="細明體" w:hAnsi="細明體" w:cs="細明體" w:hint="eastAsia"/>
              </w:rPr>
              <w:t>者，應事先向經濟部國際貿易局申請輸入許可證，並向海關辦理報關驗放手續，</w:t>
            </w:r>
            <w:r w:rsidR="00B60CF5">
              <w:rPr>
                <w:rFonts w:ascii="細明體" w:eastAsia="細明體" w:hAnsi="細明體" w:cs="細明體" w:hint="eastAsia"/>
              </w:rPr>
              <w:t>未申報或申報不實者，處以相當價額之罰鍰。</w:t>
            </w:r>
          </w:p>
          <w:p w:rsidR="00615007" w:rsidRPr="00E5349C" w:rsidRDefault="006873A6" w:rsidP="00B60CF5">
            <w:pPr>
              <w:ind w:leftChars="-30" w:left="919" w:hangingChars="367" w:hanging="991"/>
            </w:pPr>
            <w:r>
              <w:rPr>
                <w:rFonts w:ascii="細明體" w:eastAsia="細明體" w:hAnsi="細明體" w:cs="細明體" w:hint="eastAsia"/>
                <w:color w:val="FF0000"/>
                <w:spacing w:val="15"/>
                <w:kern w:val="0"/>
                <w:szCs w:val="24"/>
              </w:rPr>
              <w:t>其他有被當成洗錢工具物品</w:t>
            </w:r>
            <w:r w:rsidR="00611165">
              <w:rPr>
                <w:rFonts w:ascii="細明體" w:eastAsia="細明體" w:hAnsi="細明體" w:cs="細明體" w:hint="eastAsia"/>
                <w:color w:val="FF0000"/>
                <w:spacing w:val="15"/>
                <w:kern w:val="0"/>
                <w:szCs w:val="24"/>
              </w:rPr>
              <w:t>:攜帶</w:t>
            </w:r>
            <w:r>
              <w:rPr>
                <w:rFonts w:ascii="細明體" w:eastAsia="細明體" w:hAnsi="細明體" w:cs="細明體" w:hint="eastAsia"/>
                <w:color w:val="FF0000"/>
                <w:spacing w:val="15"/>
                <w:kern w:val="0"/>
                <w:szCs w:val="24"/>
              </w:rPr>
              <w:t>鑽石、寶石、白金</w:t>
            </w:r>
            <w:r w:rsidR="00611165">
              <w:rPr>
                <w:rFonts w:ascii="細明體" w:eastAsia="細明體" w:hAnsi="細明體" w:cs="細明體" w:hint="eastAsia"/>
                <w:color w:val="FF0000"/>
                <w:spacing w:val="15"/>
                <w:kern w:val="0"/>
                <w:szCs w:val="24"/>
              </w:rPr>
              <w:t>(</w:t>
            </w:r>
            <w:r w:rsidR="00611165" w:rsidRPr="00611165">
              <w:rPr>
                <w:rFonts w:ascii="細明體" w:eastAsia="細明體" w:hAnsi="細明體" w:cs="細明體" w:hint="eastAsia"/>
                <w:color w:val="FF0000"/>
                <w:spacing w:val="15"/>
                <w:kern w:val="0"/>
                <w:szCs w:val="24"/>
              </w:rPr>
              <w:t>包含半成品及製成之珠寶首飾</w:t>
            </w:r>
            <w:r w:rsidR="00611165">
              <w:rPr>
                <w:rFonts w:ascii="細明體" w:eastAsia="細明體" w:hAnsi="細明體" w:cs="細明體" w:hint="eastAsia"/>
                <w:color w:val="FF0000"/>
                <w:spacing w:val="15"/>
                <w:kern w:val="0"/>
                <w:szCs w:val="24"/>
              </w:rPr>
              <w:t>)</w:t>
            </w:r>
            <w:r w:rsidR="00DC0B01">
              <w:rPr>
                <w:rFonts w:ascii="細明體" w:eastAsia="細明體" w:hAnsi="細明體" w:cs="細明體" w:hint="eastAsia"/>
                <w:color w:val="FF0000"/>
                <w:spacing w:val="15"/>
                <w:kern w:val="0"/>
                <w:szCs w:val="24"/>
              </w:rPr>
              <w:t>等</w:t>
            </w:r>
            <w:r w:rsidR="00611165">
              <w:rPr>
                <w:rFonts w:ascii="細明體" w:eastAsia="細明體" w:hAnsi="細明體" w:cs="細明體" w:hint="eastAsia"/>
                <w:color w:val="FF0000"/>
                <w:spacing w:val="15"/>
                <w:kern w:val="0"/>
                <w:szCs w:val="24"/>
              </w:rPr>
              <w:t>價值</w:t>
            </w:r>
            <w:r w:rsidR="00DC0B01" w:rsidRPr="00DC0B01">
              <w:rPr>
                <w:rFonts w:ascii="細明體" w:eastAsia="細明體" w:hAnsi="細明體" w:cs="細明體" w:hint="eastAsia"/>
                <w:color w:val="FF0000"/>
              </w:rPr>
              <w:t>逾</w:t>
            </w:r>
            <w:r w:rsidR="00B60CF5">
              <w:rPr>
                <w:rFonts w:ascii="細明體" w:eastAsia="細明體" w:hAnsi="細明體" w:cs="細明體" w:hint="eastAsia"/>
                <w:color w:val="FF0000"/>
              </w:rPr>
              <w:t>台</w:t>
            </w:r>
            <w:r w:rsidR="00DC0B01" w:rsidRPr="00DC0B01">
              <w:rPr>
                <w:rFonts w:ascii="細明體" w:eastAsia="細明體" w:hAnsi="細明體" w:cs="細明體" w:hint="eastAsia"/>
                <w:color w:val="FF0000"/>
              </w:rPr>
              <w:t>幣</w:t>
            </w:r>
            <w:r w:rsidR="00B60CF5">
              <w:rPr>
                <w:rFonts w:ascii="細明體" w:eastAsia="細明體" w:hAnsi="細明體" w:cs="細明體" w:hint="eastAsia"/>
                <w:color w:val="FF0000"/>
              </w:rPr>
              <w:t>50</w:t>
            </w:r>
            <w:r w:rsidR="00DC0B01" w:rsidRPr="00DC0B01">
              <w:rPr>
                <w:rFonts w:ascii="細明體" w:eastAsia="細明體" w:hAnsi="細明體" w:cs="細明體" w:hint="eastAsia"/>
                <w:color w:val="FF0000"/>
              </w:rPr>
              <w:t>萬元者，應向海關申報。未申報或申報不實者，</w:t>
            </w:r>
            <w:r w:rsidR="00B60CF5" w:rsidRPr="00B60CF5">
              <w:rPr>
                <w:rFonts w:ascii="細明體" w:eastAsia="細明體" w:hAnsi="細明體" w:cs="細明體" w:hint="eastAsia"/>
                <w:color w:val="FF0000"/>
              </w:rPr>
              <w:t>未申報或申報不實者，處以相當價額之罰鍰。</w:t>
            </w:r>
          </w:p>
        </w:tc>
      </w:tr>
    </w:tbl>
    <w:p w:rsidR="004927E8" w:rsidRDefault="004927E8" w:rsidP="00240524">
      <w:pPr>
        <w:widowControl/>
        <w:spacing w:line="330" w:lineRule="atLeast"/>
        <w:ind w:left="540" w:hangingChars="200" w:hanging="540"/>
        <w:rPr>
          <w:rFonts w:hint="eastAsia"/>
          <w:b/>
          <w:bCs/>
          <w:color w:val="339999"/>
          <w:spacing w:val="15"/>
        </w:rPr>
      </w:pPr>
    </w:p>
    <w:p w:rsidR="00240524" w:rsidRDefault="00B60CF5" w:rsidP="00240524">
      <w:pPr>
        <w:widowControl/>
        <w:spacing w:line="330" w:lineRule="atLeast"/>
        <w:ind w:left="540" w:hangingChars="200" w:hanging="540"/>
        <w:rPr>
          <w:rFonts w:hint="eastAsia"/>
          <w:b/>
          <w:bCs/>
          <w:color w:val="339999"/>
          <w:spacing w:val="15"/>
        </w:rPr>
      </w:pPr>
      <w:r>
        <w:rPr>
          <w:rFonts w:hint="eastAsia"/>
          <w:b/>
          <w:bCs/>
          <w:color w:val="339999"/>
          <w:spacing w:val="15"/>
        </w:rPr>
        <w:t>資料來源</w:t>
      </w:r>
      <w:r>
        <w:rPr>
          <w:rFonts w:hint="eastAsia"/>
          <w:b/>
          <w:bCs/>
          <w:color w:val="339999"/>
          <w:spacing w:val="15"/>
        </w:rPr>
        <w:t>:</w:t>
      </w:r>
      <w:r>
        <w:rPr>
          <w:rFonts w:hint="eastAsia"/>
          <w:b/>
          <w:bCs/>
          <w:color w:val="339999"/>
          <w:spacing w:val="15"/>
        </w:rPr>
        <w:t>財政部關務署</w:t>
      </w:r>
    </w:p>
    <w:p w:rsidR="004927E8" w:rsidRDefault="004927E8" w:rsidP="00B60CF5">
      <w:pPr>
        <w:widowControl/>
        <w:spacing w:line="360" w:lineRule="atLeast"/>
        <w:rPr>
          <w:rFonts w:ascii="Times New Roman" w:eastAsia="新細明體" w:hAnsi="Times New Roman" w:cs="Times New Roman" w:hint="eastAsia"/>
          <w:b/>
          <w:bCs/>
          <w:color w:val="2F8E8E"/>
          <w:spacing w:val="15"/>
          <w:kern w:val="0"/>
          <w:sz w:val="27"/>
          <w:szCs w:val="27"/>
        </w:rPr>
      </w:pPr>
    </w:p>
    <w:p w:rsidR="00B60CF5" w:rsidRPr="00B60CF5" w:rsidRDefault="00B60CF5" w:rsidP="00B60CF5">
      <w:pPr>
        <w:widowControl/>
        <w:spacing w:line="360" w:lineRule="atLeast"/>
        <w:rPr>
          <w:rFonts w:ascii="Times New Roman" w:eastAsia="新細明體" w:hAnsi="Times New Roman" w:cs="Times New Roman"/>
          <w:b/>
          <w:bCs/>
          <w:color w:val="2F8E8E"/>
          <w:spacing w:val="15"/>
          <w:kern w:val="0"/>
          <w:sz w:val="27"/>
          <w:szCs w:val="27"/>
        </w:rPr>
      </w:pPr>
      <w:bookmarkStart w:id="0" w:name="_GoBack"/>
      <w:bookmarkEnd w:id="0"/>
      <w:r w:rsidRPr="00B60CF5">
        <w:rPr>
          <w:rFonts w:ascii="Times New Roman" w:eastAsia="新細明體" w:hAnsi="Times New Roman" w:cs="Times New Roman"/>
          <w:b/>
          <w:bCs/>
          <w:color w:val="2F8E8E"/>
          <w:spacing w:val="15"/>
          <w:kern w:val="0"/>
          <w:sz w:val="27"/>
          <w:szCs w:val="27"/>
        </w:rPr>
        <w:t>配合洗錢防制法新制，旅客入出境攜帶外幣現鈔、新臺幣現鈔、有價證券及黃金等，請依規定申報。</w:t>
      </w:r>
    </w:p>
    <w:p w:rsidR="00B60CF5" w:rsidRPr="00B60CF5" w:rsidRDefault="00B60CF5" w:rsidP="00B60CF5">
      <w:pPr>
        <w:widowControl/>
        <w:spacing w:before="100" w:beforeAutospacing="1" w:after="100" w:afterAutospacing="1" w:line="360" w:lineRule="atLeast"/>
        <w:rPr>
          <w:rFonts w:ascii="Times New Roman" w:eastAsia="新細明體" w:hAnsi="Times New Roman" w:cs="Times New Roman"/>
          <w:color w:val="000000"/>
          <w:kern w:val="0"/>
          <w:sz w:val="27"/>
          <w:szCs w:val="27"/>
        </w:rPr>
      </w:pPr>
      <w:r w:rsidRPr="00B60CF5">
        <w:rPr>
          <w:rFonts w:ascii="Times New Roman" w:eastAsia="新細明體" w:hAnsi="Times New Roman" w:cs="Times New Roman"/>
          <w:color w:val="000000"/>
          <w:kern w:val="0"/>
          <w:sz w:val="27"/>
          <w:szCs w:val="27"/>
        </w:rPr>
        <w:lastRenderedPageBreak/>
        <w:t xml:space="preserve">　　配合洗錢防制法自本（</w:t>
      </w:r>
      <w:r w:rsidRPr="00B60CF5">
        <w:rPr>
          <w:rFonts w:ascii="Times New Roman" w:eastAsia="新細明體" w:hAnsi="Times New Roman" w:cs="Times New Roman"/>
          <w:color w:val="000000"/>
          <w:kern w:val="0"/>
          <w:sz w:val="27"/>
          <w:szCs w:val="27"/>
        </w:rPr>
        <w:t>106</w:t>
      </w:r>
      <w:r w:rsidRPr="00B60CF5">
        <w:rPr>
          <w:rFonts w:ascii="Times New Roman" w:eastAsia="新細明體" w:hAnsi="Times New Roman" w:cs="Times New Roman"/>
          <w:color w:val="000000"/>
          <w:kern w:val="0"/>
          <w:sz w:val="27"/>
          <w:szCs w:val="27"/>
        </w:rPr>
        <w:t>）年</w:t>
      </w:r>
      <w:r w:rsidRPr="00B60CF5">
        <w:rPr>
          <w:rFonts w:ascii="Times New Roman" w:eastAsia="新細明體" w:hAnsi="Times New Roman" w:cs="Times New Roman"/>
          <w:color w:val="000000"/>
          <w:kern w:val="0"/>
          <w:sz w:val="27"/>
          <w:szCs w:val="27"/>
        </w:rPr>
        <w:t>6</w:t>
      </w:r>
      <w:r w:rsidRPr="00B60CF5">
        <w:rPr>
          <w:rFonts w:ascii="Times New Roman" w:eastAsia="新細明體" w:hAnsi="Times New Roman" w:cs="Times New Roman"/>
          <w:color w:val="000000"/>
          <w:kern w:val="0"/>
          <w:sz w:val="27"/>
          <w:szCs w:val="27"/>
        </w:rPr>
        <w:t>月</w:t>
      </w:r>
      <w:r w:rsidRPr="00B60CF5">
        <w:rPr>
          <w:rFonts w:ascii="Times New Roman" w:eastAsia="新細明體" w:hAnsi="Times New Roman" w:cs="Times New Roman"/>
          <w:color w:val="000000"/>
          <w:kern w:val="0"/>
          <w:sz w:val="27"/>
          <w:szCs w:val="27"/>
        </w:rPr>
        <w:t>28</w:t>
      </w:r>
      <w:r w:rsidRPr="00B60CF5">
        <w:rPr>
          <w:rFonts w:ascii="Times New Roman" w:eastAsia="新細明體" w:hAnsi="Times New Roman" w:cs="Times New Roman"/>
          <w:color w:val="000000"/>
          <w:kern w:val="0"/>
          <w:sz w:val="27"/>
          <w:szCs w:val="27"/>
        </w:rPr>
        <w:t>日上路，關務署特別提醒國人出入境如有攜帶超過一定金額以上之外幣現鈔或有價證券，請記得向海關誠實申報，以免被沒入或處罰鍰。</w:t>
      </w:r>
      <w:r w:rsidRPr="00B60CF5">
        <w:rPr>
          <w:rFonts w:ascii="Times New Roman" w:eastAsia="新細明體" w:hAnsi="Times New Roman" w:cs="Times New Roman"/>
          <w:color w:val="000000"/>
          <w:kern w:val="0"/>
          <w:sz w:val="27"/>
          <w:szCs w:val="27"/>
        </w:rPr>
        <w:br/>
      </w:r>
      <w:r w:rsidRPr="00B60CF5">
        <w:rPr>
          <w:rFonts w:ascii="Times New Roman" w:eastAsia="新細明體" w:hAnsi="Times New Roman" w:cs="Times New Roman"/>
          <w:color w:val="000000"/>
          <w:kern w:val="0"/>
          <w:sz w:val="27"/>
          <w:szCs w:val="27"/>
        </w:rPr>
        <w:t xml:space="preserve">　　該署指出，自</w:t>
      </w:r>
      <w:r w:rsidRPr="00B60CF5">
        <w:rPr>
          <w:rFonts w:ascii="Times New Roman" w:eastAsia="新細明體" w:hAnsi="Times New Roman" w:cs="Times New Roman"/>
          <w:color w:val="000000"/>
          <w:kern w:val="0"/>
          <w:sz w:val="27"/>
          <w:szCs w:val="27"/>
        </w:rPr>
        <w:t>6</w:t>
      </w:r>
      <w:r w:rsidRPr="00B60CF5">
        <w:rPr>
          <w:rFonts w:ascii="Times New Roman" w:eastAsia="新細明體" w:hAnsi="Times New Roman" w:cs="Times New Roman"/>
          <w:color w:val="000000"/>
          <w:kern w:val="0"/>
          <w:sz w:val="27"/>
          <w:szCs w:val="27"/>
        </w:rPr>
        <w:t>月</w:t>
      </w:r>
      <w:r w:rsidRPr="00B60CF5">
        <w:rPr>
          <w:rFonts w:ascii="Times New Roman" w:eastAsia="新細明體" w:hAnsi="Times New Roman" w:cs="Times New Roman"/>
          <w:color w:val="000000"/>
          <w:kern w:val="0"/>
          <w:sz w:val="27"/>
          <w:szCs w:val="27"/>
        </w:rPr>
        <w:t>28</w:t>
      </w:r>
      <w:r w:rsidRPr="00B60CF5">
        <w:rPr>
          <w:rFonts w:ascii="Times New Roman" w:eastAsia="新細明體" w:hAnsi="Times New Roman" w:cs="Times New Roman"/>
          <w:color w:val="000000"/>
          <w:kern w:val="0"/>
          <w:sz w:val="27"/>
          <w:szCs w:val="27"/>
        </w:rPr>
        <w:t>日起，旅客出入境，同一人於同日單一航（班）次有下列情形之</w:t>
      </w:r>
      <w:proofErr w:type="gramStart"/>
      <w:r w:rsidRPr="00B60CF5">
        <w:rPr>
          <w:rFonts w:ascii="Times New Roman" w:eastAsia="新細明體" w:hAnsi="Times New Roman" w:cs="Times New Roman"/>
          <w:color w:val="000000"/>
          <w:kern w:val="0"/>
          <w:sz w:val="27"/>
          <w:szCs w:val="27"/>
        </w:rPr>
        <w:t>一</w:t>
      </w:r>
      <w:proofErr w:type="gramEnd"/>
      <w:r w:rsidRPr="00B60CF5">
        <w:rPr>
          <w:rFonts w:ascii="Times New Roman" w:eastAsia="新細明體" w:hAnsi="Times New Roman" w:cs="Times New Roman"/>
          <w:color w:val="000000"/>
          <w:kern w:val="0"/>
          <w:sz w:val="27"/>
          <w:szCs w:val="27"/>
        </w:rPr>
        <w:t>者，應填報中華民國海關申報單依規定向海關申報：</w:t>
      </w:r>
      <w:r w:rsidRPr="00B60CF5">
        <w:rPr>
          <w:rFonts w:ascii="Times New Roman" w:eastAsia="新細明體" w:hAnsi="Times New Roman" w:cs="Times New Roman"/>
          <w:color w:val="000000"/>
          <w:kern w:val="0"/>
          <w:sz w:val="27"/>
          <w:szCs w:val="27"/>
        </w:rPr>
        <w:br/>
      </w:r>
      <w:r w:rsidRPr="00B60CF5">
        <w:rPr>
          <w:rFonts w:ascii="Times New Roman" w:eastAsia="新細明體" w:hAnsi="Times New Roman" w:cs="Times New Roman"/>
          <w:color w:val="000000"/>
          <w:kern w:val="0"/>
          <w:sz w:val="27"/>
          <w:szCs w:val="27"/>
        </w:rPr>
        <w:t>一、總價值逾等值</w:t>
      </w:r>
      <w:r w:rsidRPr="00B60CF5">
        <w:rPr>
          <w:rFonts w:ascii="Times New Roman" w:eastAsia="新細明體" w:hAnsi="Times New Roman" w:cs="Times New Roman"/>
          <w:color w:val="000000"/>
          <w:kern w:val="0"/>
          <w:sz w:val="27"/>
          <w:szCs w:val="27"/>
        </w:rPr>
        <w:t>1</w:t>
      </w:r>
      <w:r w:rsidRPr="00B60CF5">
        <w:rPr>
          <w:rFonts w:ascii="Times New Roman" w:eastAsia="新細明體" w:hAnsi="Times New Roman" w:cs="Times New Roman"/>
          <w:color w:val="000000"/>
          <w:kern w:val="0"/>
          <w:sz w:val="27"/>
          <w:szCs w:val="27"/>
        </w:rPr>
        <w:t>萬美元之外幣、香港或澳門發行之貨幣現鈔。</w:t>
      </w:r>
      <w:r w:rsidRPr="00B60CF5">
        <w:rPr>
          <w:rFonts w:ascii="Times New Roman" w:eastAsia="新細明體" w:hAnsi="Times New Roman" w:cs="Times New Roman"/>
          <w:color w:val="000000"/>
          <w:kern w:val="0"/>
          <w:sz w:val="27"/>
          <w:szCs w:val="27"/>
        </w:rPr>
        <w:br/>
      </w:r>
      <w:r w:rsidRPr="00B60CF5">
        <w:rPr>
          <w:rFonts w:ascii="Times New Roman" w:eastAsia="新細明體" w:hAnsi="Times New Roman" w:cs="Times New Roman"/>
          <w:color w:val="000000"/>
          <w:kern w:val="0"/>
          <w:sz w:val="27"/>
          <w:szCs w:val="27"/>
        </w:rPr>
        <w:t>二、總</w:t>
      </w:r>
      <w:proofErr w:type="gramStart"/>
      <w:r w:rsidRPr="00B60CF5">
        <w:rPr>
          <w:rFonts w:ascii="Times New Roman" w:eastAsia="新細明體" w:hAnsi="Times New Roman" w:cs="Times New Roman"/>
          <w:color w:val="000000"/>
          <w:kern w:val="0"/>
          <w:sz w:val="27"/>
          <w:szCs w:val="27"/>
        </w:rPr>
        <w:t>價值逾新臺幣</w:t>
      </w:r>
      <w:proofErr w:type="gramEnd"/>
      <w:r w:rsidRPr="00B60CF5">
        <w:rPr>
          <w:rFonts w:ascii="Times New Roman" w:eastAsia="新細明體" w:hAnsi="Times New Roman" w:cs="Times New Roman"/>
          <w:color w:val="000000"/>
          <w:kern w:val="0"/>
          <w:sz w:val="27"/>
          <w:szCs w:val="27"/>
        </w:rPr>
        <w:t>逾</w:t>
      </w:r>
      <w:r w:rsidRPr="00B60CF5">
        <w:rPr>
          <w:rFonts w:ascii="Times New Roman" w:eastAsia="新細明體" w:hAnsi="Times New Roman" w:cs="Times New Roman"/>
          <w:color w:val="000000"/>
          <w:kern w:val="0"/>
          <w:sz w:val="27"/>
          <w:szCs w:val="27"/>
        </w:rPr>
        <w:t>10</w:t>
      </w:r>
      <w:r w:rsidRPr="00B60CF5">
        <w:rPr>
          <w:rFonts w:ascii="Times New Roman" w:eastAsia="新細明體" w:hAnsi="Times New Roman" w:cs="Times New Roman"/>
          <w:color w:val="000000"/>
          <w:kern w:val="0"/>
          <w:sz w:val="27"/>
          <w:szCs w:val="27"/>
        </w:rPr>
        <w:t>萬元現鈔。</w:t>
      </w:r>
      <w:r w:rsidRPr="00B60CF5">
        <w:rPr>
          <w:rFonts w:ascii="Times New Roman" w:eastAsia="新細明體" w:hAnsi="Times New Roman" w:cs="Times New Roman"/>
          <w:color w:val="000000"/>
          <w:kern w:val="0"/>
          <w:sz w:val="27"/>
          <w:szCs w:val="27"/>
        </w:rPr>
        <w:br/>
      </w:r>
      <w:r w:rsidRPr="00B60CF5">
        <w:rPr>
          <w:rFonts w:ascii="Times New Roman" w:eastAsia="新細明體" w:hAnsi="Times New Roman" w:cs="Times New Roman"/>
          <w:color w:val="000000"/>
          <w:kern w:val="0"/>
          <w:sz w:val="27"/>
          <w:szCs w:val="27"/>
        </w:rPr>
        <w:t>三、總價值逾人民幣</w:t>
      </w:r>
      <w:r w:rsidRPr="00B60CF5">
        <w:rPr>
          <w:rFonts w:ascii="Times New Roman" w:eastAsia="新細明體" w:hAnsi="Times New Roman" w:cs="Times New Roman"/>
          <w:color w:val="000000"/>
          <w:kern w:val="0"/>
          <w:sz w:val="27"/>
          <w:szCs w:val="27"/>
        </w:rPr>
        <w:t>2</w:t>
      </w:r>
      <w:r w:rsidRPr="00B60CF5">
        <w:rPr>
          <w:rFonts w:ascii="Times New Roman" w:eastAsia="新細明體" w:hAnsi="Times New Roman" w:cs="Times New Roman"/>
          <w:color w:val="000000"/>
          <w:kern w:val="0"/>
          <w:sz w:val="27"/>
          <w:szCs w:val="27"/>
        </w:rPr>
        <w:t>萬元現鈔。</w:t>
      </w:r>
      <w:r w:rsidRPr="00B60CF5">
        <w:rPr>
          <w:rFonts w:ascii="Times New Roman" w:eastAsia="新細明體" w:hAnsi="Times New Roman" w:cs="Times New Roman"/>
          <w:color w:val="000000"/>
          <w:kern w:val="0"/>
          <w:sz w:val="27"/>
          <w:szCs w:val="27"/>
        </w:rPr>
        <w:br/>
      </w:r>
      <w:r w:rsidRPr="00B60CF5">
        <w:rPr>
          <w:rFonts w:ascii="Times New Roman" w:eastAsia="新細明體" w:hAnsi="Times New Roman" w:cs="Times New Roman"/>
          <w:color w:val="000000"/>
          <w:kern w:val="0"/>
          <w:sz w:val="27"/>
          <w:szCs w:val="27"/>
        </w:rPr>
        <w:t>四、總面額逾等值</w:t>
      </w:r>
      <w:r w:rsidRPr="00B60CF5">
        <w:rPr>
          <w:rFonts w:ascii="Times New Roman" w:eastAsia="新細明體" w:hAnsi="Times New Roman" w:cs="Times New Roman"/>
          <w:color w:val="000000"/>
          <w:kern w:val="0"/>
          <w:sz w:val="27"/>
          <w:szCs w:val="27"/>
        </w:rPr>
        <w:t>1</w:t>
      </w:r>
      <w:r w:rsidRPr="00B60CF5">
        <w:rPr>
          <w:rFonts w:ascii="Times New Roman" w:eastAsia="新細明體" w:hAnsi="Times New Roman" w:cs="Times New Roman"/>
          <w:color w:val="000000"/>
          <w:kern w:val="0"/>
          <w:sz w:val="27"/>
          <w:szCs w:val="27"/>
        </w:rPr>
        <w:t>萬美元之有價證券（包括無記名之旅行支票、其他支票、本票、匯票或得由持有人在本國或外國行使權利之其他有價證券）。</w:t>
      </w:r>
      <w:r w:rsidRPr="00B60CF5">
        <w:rPr>
          <w:rFonts w:ascii="Times New Roman" w:eastAsia="新細明體" w:hAnsi="Times New Roman" w:cs="Times New Roman"/>
          <w:color w:val="000000"/>
          <w:kern w:val="0"/>
          <w:sz w:val="27"/>
          <w:szCs w:val="27"/>
        </w:rPr>
        <w:br/>
      </w:r>
      <w:r w:rsidRPr="00B60CF5">
        <w:rPr>
          <w:rFonts w:ascii="Times New Roman" w:eastAsia="新細明體" w:hAnsi="Times New Roman" w:cs="Times New Roman"/>
          <w:color w:val="000000"/>
          <w:kern w:val="0"/>
          <w:sz w:val="27"/>
          <w:szCs w:val="27"/>
        </w:rPr>
        <w:t>五、總價值逾等值</w:t>
      </w:r>
      <w:r w:rsidRPr="00B60CF5">
        <w:rPr>
          <w:rFonts w:ascii="Times New Roman" w:eastAsia="新細明體" w:hAnsi="Times New Roman" w:cs="Times New Roman"/>
          <w:color w:val="000000"/>
          <w:kern w:val="0"/>
          <w:sz w:val="27"/>
          <w:szCs w:val="27"/>
        </w:rPr>
        <w:t>2</w:t>
      </w:r>
      <w:r w:rsidRPr="00B60CF5">
        <w:rPr>
          <w:rFonts w:ascii="Times New Roman" w:eastAsia="新細明體" w:hAnsi="Times New Roman" w:cs="Times New Roman"/>
          <w:color w:val="000000"/>
          <w:kern w:val="0"/>
          <w:sz w:val="27"/>
          <w:szCs w:val="27"/>
        </w:rPr>
        <w:t>萬美元之黃金。</w:t>
      </w:r>
      <w:r w:rsidRPr="00B60CF5">
        <w:rPr>
          <w:rFonts w:ascii="Times New Roman" w:eastAsia="新細明體" w:hAnsi="Times New Roman" w:cs="Times New Roman"/>
          <w:color w:val="000000"/>
          <w:kern w:val="0"/>
          <w:sz w:val="27"/>
          <w:szCs w:val="27"/>
        </w:rPr>
        <w:br/>
      </w:r>
      <w:r w:rsidRPr="00B60CF5">
        <w:rPr>
          <w:rFonts w:ascii="Times New Roman" w:eastAsia="新細明體" w:hAnsi="Times New Roman" w:cs="Times New Roman"/>
          <w:color w:val="000000"/>
          <w:kern w:val="0"/>
          <w:sz w:val="27"/>
          <w:szCs w:val="27"/>
        </w:rPr>
        <w:t>六、鑽石、寶石及白金總</w:t>
      </w:r>
      <w:proofErr w:type="gramStart"/>
      <w:r w:rsidRPr="00B60CF5">
        <w:rPr>
          <w:rFonts w:ascii="Times New Roman" w:eastAsia="新細明體" w:hAnsi="Times New Roman" w:cs="Times New Roman"/>
          <w:color w:val="000000"/>
          <w:kern w:val="0"/>
          <w:sz w:val="27"/>
          <w:szCs w:val="27"/>
        </w:rPr>
        <w:t>價值逾新臺幣</w:t>
      </w:r>
      <w:proofErr w:type="gramEnd"/>
      <w:r w:rsidRPr="00B60CF5">
        <w:rPr>
          <w:rFonts w:ascii="Times New Roman" w:eastAsia="新細明體" w:hAnsi="Times New Roman" w:cs="Times New Roman"/>
          <w:color w:val="000000"/>
          <w:kern w:val="0"/>
          <w:sz w:val="27"/>
          <w:szCs w:val="27"/>
        </w:rPr>
        <w:t>50</w:t>
      </w:r>
      <w:r w:rsidRPr="00B60CF5">
        <w:rPr>
          <w:rFonts w:ascii="Times New Roman" w:eastAsia="新細明體" w:hAnsi="Times New Roman" w:cs="Times New Roman"/>
          <w:color w:val="000000"/>
          <w:kern w:val="0"/>
          <w:sz w:val="27"/>
          <w:szCs w:val="27"/>
        </w:rPr>
        <w:t>萬元，且超過自用目的，並有被利用進行洗錢之虞之物品。</w:t>
      </w:r>
      <w:r w:rsidRPr="00B60CF5">
        <w:rPr>
          <w:rFonts w:ascii="Times New Roman" w:eastAsia="新細明體" w:hAnsi="Times New Roman" w:cs="Times New Roman"/>
          <w:color w:val="000000"/>
          <w:kern w:val="0"/>
          <w:sz w:val="27"/>
          <w:szCs w:val="27"/>
        </w:rPr>
        <w:br/>
      </w:r>
      <w:r w:rsidRPr="00B60CF5">
        <w:rPr>
          <w:rFonts w:ascii="Times New Roman" w:eastAsia="新細明體" w:hAnsi="Times New Roman" w:cs="Times New Roman"/>
          <w:color w:val="000000"/>
          <w:kern w:val="0"/>
          <w:sz w:val="27"/>
          <w:szCs w:val="27"/>
        </w:rPr>
        <w:t xml:space="preserve">　　又該署對申報不實或隱匿未申報之貨幣現鈔，依洗錢防制法規定處置如下：</w:t>
      </w:r>
      <w:r w:rsidRPr="00B60CF5">
        <w:rPr>
          <w:rFonts w:ascii="Times New Roman" w:eastAsia="新細明體" w:hAnsi="Times New Roman" w:cs="Times New Roman"/>
          <w:color w:val="000000"/>
          <w:kern w:val="0"/>
          <w:sz w:val="27"/>
          <w:szCs w:val="27"/>
        </w:rPr>
        <w:t> </w:t>
      </w:r>
      <w:r w:rsidRPr="00B60CF5">
        <w:rPr>
          <w:rFonts w:ascii="Times New Roman" w:eastAsia="新細明體" w:hAnsi="Times New Roman" w:cs="Times New Roman"/>
          <w:color w:val="000000"/>
          <w:kern w:val="0"/>
          <w:sz w:val="27"/>
          <w:szCs w:val="27"/>
        </w:rPr>
        <w:br/>
      </w:r>
      <w:r w:rsidRPr="00B60CF5">
        <w:rPr>
          <w:rFonts w:ascii="Times New Roman" w:eastAsia="新細明體" w:hAnsi="Times New Roman" w:cs="Times New Roman"/>
          <w:color w:val="000000"/>
          <w:kern w:val="0"/>
          <w:sz w:val="27"/>
          <w:szCs w:val="27"/>
        </w:rPr>
        <w:t>一、外幣、香港或澳門發行之貨幣現鈔：未依規定申報者，由海關沒入；外幣申報不實者，其超過申報部分之外幣沒入之。</w:t>
      </w:r>
      <w:r w:rsidRPr="00B60CF5">
        <w:rPr>
          <w:rFonts w:ascii="Times New Roman" w:eastAsia="新細明體" w:hAnsi="Times New Roman" w:cs="Times New Roman"/>
          <w:color w:val="000000"/>
          <w:kern w:val="0"/>
          <w:sz w:val="27"/>
          <w:szCs w:val="27"/>
        </w:rPr>
        <w:br/>
      </w:r>
      <w:r w:rsidRPr="00B60CF5">
        <w:rPr>
          <w:rFonts w:ascii="Times New Roman" w:eastAsia="新細明體" w:hAnsi="Times New Roman" w:cs="Times New Roman"/>
          <w:color w:val="000000"/>
          <w:kern w:val="0"/>
          <w:sz w:val="27"/>
          <w:szCs w:val="27"/>
        </w:rPr>
        <w:t>二、新臺幣現鈔：如攜帶之新臺幣超過該項限額時，應在入出境前先向中央銀行申請核准，持憑查驗放行，未依規定申報超額攜帶之新臺幣，沒入之；申報不實者，其超過申報部分之新臺幣沒入之。</w:t>
      </w:r>
      <w:r w:rsidRPr="00B60CF5">
        <w:rPr>
          <w:rFonts w:ascii="Times New Roman" w:eastAsia="新細明體" w:hAnsi="Times New Roman" w:cs="Times New Roman"/>
          <w:color w:val="000000"/>
          <w:kern w:val="0"/>
          <w:sz w:val="27"/>
          <w:szCs w:val="27"/>
        </w:rPr>
        <w:t> </w:t>
      </w:r>
      <w:r w:rsidRPr="00B60CF5">
        <w:rPr>
          <w:rFonts w:ascii="Times New Roman" w:eastAsia="新細明體" w:hAnsi="Times New Roman" w:cs="Times New Roman"/>
          <w:color w:val="000000"/>
          <w:kern w:val="0"/>
          <w:sz w:val="27"/>
          <w:szCs w:val="27"/>
        </w:rPr>
        <w:br/>
      </w:r>
      <w:r w:rsidRPr="00B60CF5">
        <w:rPr>
          <w:rFonts w:ascii="Times New Roman" w:eastAsia="新細明體" w:hAnsi="Times New Roman" w:cs="Times New Roman"/>
          <w:color w:val="000000"/>
          <w:kern w:val="0"/>
          <w:sz w:val="27"/>
          <w:szCs w:val="27"/>
        </w:rPr>
        <w:t>三、人民幣：入境超過限額部分，由旅客自行封存於海關，出境時准予攜出；出境超過限額，雖向海關申報，仍僅能於限額</w:t>
      </w:r>
      <w:r w:rsidRPr="00B60CF5">
        <w:rPr>
          <w:rFonts w:ascii="Times New Roman" w:eastAsia="新細明體" w:hAnsi="Times New Roman" w:cs="Times New Roman"/>
          <w:color w:val="000000"/>
          <w:kern w:val="0"/>
          <w:sz w:val="27"/>
          <w:szCs w:val="27"/>
        </w:rPr>
        <w:t xml:space="preserve"> </w:t>
      </w:r>
      <w:r w:rsidRPr="00B60CF5">
        <w:rPr>
          <w:rFonts w:ascii="Times New Roman" w:eastAsia="新細明體" w:hAnsi="Times New Roman" w:cs="Times New Roman"/>
          <w:color w:val="000000"/>
          <w:kern w:val="0"/>
          <w:sz w:val="27"/>
          <w:szCs w:val="27"/>
        </w:rPr>
        <w:t>內攜出。未依規定申報超額攜帶之人民幣，沒入之；人民幣申報不實者，其超過申報部分之人民幣沒入之。</w:t>
      </w:r>
      <w:r w:rsidRPr="00B60CF5">
        <w:rPr>
          <w:rFonts w:ascii="Times New Roman" w:eastAsia="新細明體" w:hAnsi="Times New Roman" w:cs="Times New Roman"/>
          <w:color w:val="000000"/>
          <w:kern w:val="0"/>
          <w:sz w:val="27"/>
          <w:szCs w:val="27"/>
        </w:rPr>
        <w:t> </w:t>
      </w:r>
      <w:r w:rsidRPr="00B60CF5">
        <w:rPr>
          <w:rFonts w:ascii="Times New Roman" w:eastAsia="新細明體" w:hAnsi="Times New Roman" w:cs="Times New Roman"/>
          <w:color w:val="000000"/>
          <w:kern w:val="0"/>
          <w:sz w:val="27"/>
          <w:szCs w:val="27"/>
        </w:rPr>
        <w:br/>
      </w:r>
      <w:r w:rsidRPr="00B60CF5">
        <w:rPr>
          <w:rFonts w:ascii="Times New Roman" w:eastAsia="新細明體" w:hAnsi="Times New Roman" w:cs="Times New Roman"/>
          <w:color w:val="000000"/>
          <w:kern w:val="0"/>
          <w:sz w:val="27"/>
          <w:szCs w:val="27"/>
        </w:rPr>
        <w:t>四、無記名之旅行支票、其他支票、本票、匯票或得由持有人在</w:t>
      </w:r>
      <w:r w:rsidRPr="00B60CF5">
        <w:rPr>
          <w:rFonts w:ascii="Times New Roman" w:eastAsia="新細明體" w:hAnsi="Times New Roman" w:cs="Times New Roman"/>
          <w:color w:val="000000"/>
          <w:kern w:val="0"/>
          <w:sz w:val="27"/>
          <w:szCs w:val="27"/>
        </w:rPr>
        <w:t xml:space="preserve"> </w:t>
      </w:r>
      <w:r w:rsidRPr="00B60CF5">
        <w:rPr>
          <w:rFonts w:ascii="Times New Roman" w:eastAsia="新細明體" w:hAnsi="Times New Roman" w:cs="Times New Roman"/>
          <w:color w:val="000000"/>
          <w:kern w:val="0"/>
          <w:sz w:val="27"/>
          <w:szCs w:val="27"/>
        </w:rPr>
        <w:t>本國或外國行使權利之其他有價證券：未依規定申報或申報不實者，處以相當於未申報或申報不實之有價證券價額之罰鍰。</w:t>
      </w:r>
      <w:r w:rsidRPr="00B60CF5">
        <w:rPr>
          <w:rFonts w:ascii="Times New Roman" w:eastAsia="新細明體" w:hAnsi="Times New Roman" w:cs="Times New Roman"/>
          <w:color w:val="000000"/>
          <w:kern w:val="0"/>
          <w:sz w:val="27"/>
          <w:szCs w:val="27"/>
        </w:rPr>
        <w:br/>
      </w:r>
      <w:r w:rsidRPr="00B60CF5">
        <w:rPr>
          <w:rFonts w:ascii="Times New Roman" w:eastAsia="新細明體" w:hAnsi="Times New Roman" w:cs="Times New Roman"/>
          <w:color w:val="000000"/>
          <w:kern w:val="0"/>
          <w:sz w:val="27"/>
          <w:szCs w:val="27"/>
        </w:rPr>
        <w:t>五、黃金：未依規定申報或申報不實者，處以相當於未申報或申報不實之黃金價額之罰鍰。</w:t>
      </w:r>
      <w:r w:rsidRPr="00B60CF5">
        <w:rPr>
          <w:rFonts w:ascii="Times New Roman" w:eastAsia="新細明體" w:hAnsi="Times New Roman" w:cs="Times New Roman"/>
          <w:color w:val="000000"/>
          <w:kern w:val="0"/>
          <w:sz w:val="27"/>
          <w:szCs w:val="27"/>
        </w:rPr>
        <w:br/>
      </w:r>
      <w:r w:rsidRPr="00B60CF5">
        <w:rPr>
          <w:rFonts w:ascii="Times New Roman" w:eastAsia="新細明體" w:hAnsi="Times New Roman" w:cs="Times New Roman"/>
          <w:color w:val="000000"/>
          <w:kern w:val="0"/>
          <w:sz w:val="27"/>
          <w:szCs w:val="27"/>
        </w:rPr>
        <w:t>六、有被利用進行洗錢之虞之物品（指超越自用目的之鑽石、寶石及白金）：處以相當於未申報或申報不實之前開物品價額之罰鍰。</w:t>
      </w:r>
    </w:p>
    <w:p w:rsidR="00B60CF5" w:rsidRPr="00B60CF5" w:rsidRDefault="00B60CF5" w:rsidP="00B60CF5">
      <w:pPr>
        <w:widowControl/>
        <w:spacing w:before="100" w:beforeAutospacing="1" w:after="100" w:afterAutospacing="1" w:line="360" w:lineRule="atLeast"/>
        <w:rPr>
          <w:rFonts w:ascii="Times New Roman" w:eastAsia="新細明體" w:hAnsi="Times New Roman" w:cs="Times New Roman"/>
          <w:color w:val="000000"/>
          <w:kern w:val="0"/>
          <w:sz w:val="27"/>
          <w:szCs w:val="27"/>
        </w:rPr>
      </w:pPr>
      <w:r w:rsidRPr="00B60CF5">
        <w:rPr>
          <w:rFonts w:ascii="Times New Roman" w:eastAsia="新細明體" w:hAnsi="Times New Roman" w:cs="Times New Roman"/>
          <w:color w:val="000000"/>
          <w:kern w:val="0"/>
          <w:sz w:val="27"/>
          <w:szCs w:val="27"/>
        </w:rPr>
        <w:t>新聞稿聯絡人：林俊甫</w:t>
      </w:r>
      <w:r w:rsidRPr="00B60CF5">
        <w:rPr>
          <w:rFonts w:ascii="Times New Roman" w:eastAsia="新細明體" w:hAnsi="Times New Roman" w:cs="Times New Roman"/>
          <w:color w:val="000000"/>
          <w:kern w:val="0"/>
          <w:sz w:val="27"/>
          <w:szCs w:val="27"/>
        </w:rPr>
        <w:br/>
      </w:r>
      <w:r w:rsidRPr="00B60CF5">
        <w:rPr>
          <w:rFonts w:ascii="Times New Roman" w:eastAsia="新細明體" w:hAnsi="Times New Roman" w:cs="Times New Roman"/>
          <w:color w:val="000000"/>
          <w:kern w:val="0"/>
          <w:sz w:val="27"/>
          <w:szCs w:val="27"/>
        </w:rPr>
        <w:t>聯絡電話：（</w:t>
      </w:r>
      <w:r w:rsidRPr="00B60CF5">
        <w:rPr>
          <w:rFonts w:ascii="Times New Roman" w:eastAsia="新細明體" w:hAnsi="Times New Roman" w:cs="Times New Roman"/>
          <w:color w:val="000000"/>
          <w:kern w:val="0"/>
          <w:sz w:val="27"/>
          <w:szCs w:val="27"/>
        </w:rPr>
        <w:t>02</w:t>
      </w:r>
      <w:r w:rsidRPr="00B60CF5">
        <w:rPr>
          <w:rFonts w:ascii="Times New Roman" w:eastAsia="新細明體" w:hAnsi="Times New Roman" w:cs="Times New Roman"/>
          <w:color w:val="000000"/>
          <w:kern w:val="0"/>
          <w:sz w:val="27"/>
          <w:szCs w:val="27"/>
        </w:rPr>
        <w:t>）</w:t>
      </w:r>
      <w:r w:rsidRPr="00B60CF5">
        <w:rPr>
          <w:rFonts w:ascii="Times New Roman" w:eastAsia="新細明體" w:hAnsi="Times New Roman" w:cs="Times New Roman"/>
          <w:color w:val="000000"/>
          <w:kern w:val="0"/>
          <w:sz w:val="27"/>
          <w:szCs w:val="27"/>
        </w:rPr>
        <w:t>25505500</w:t>
      </w:r>
      <w:r w:rsidRPr="00B60CF5">
        <w:rPr>
          <w:rFonts w:ascii="Times New Roman" w:eastAsia="新細明體" w:hAnsi="Times New Roman" w:cs="Times New Roman"/>
          <w:color w:val="000000"/>
          <w:kern w:val="0"/>
          <w:sz w:val="27"/>
          <w:szCs w:val="27"/>
        </w:rPr>
        <w:t>分機</w:t>
      </w:r>
      <w:r w:rsidRPr="00B60CF5">
        <w:rPr>
          <w:rFonts w:ascii="Times New Roman" w:eastAsia="新細明體" w:hAnsi="Times New Roman" w:cs="Times New Roman"/>
          <w:color w:val="000000"/>
          <w:kern w:val="0"/>
          <w:sz w:val="27"/>
          <w:szCs w:val="27"/>
        </w:rPr>
        <w:t>2548</w:t>
      </w:r>
    </w:p>
    <w:p w:rsidR="00B60CF5" w:rsidRPr="00B60CF5" w:rsidRDefault="00B60CF5" w:rsidP="00240524">
      <w:pPr>
        <w:widowControl/>
        <w:spacing w:line="330" w:lineRule="atLeast"/>
        <w:ind w:left="540" w:hangingChars="200" w:hanging="540"/>
        <w:rPr>
          <w:b/>
          <w:bCs/>
          <w:color w:val="339999"/>
          <w:spacing w:val="15"/>
        </w:rPr>
      </w:pPr>
    </w:p>
    <w:sectPr w:rsidR="00B60CF5" w:rsidRPr="00B60CF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7C5" w:rsidRDefault="007757C5" w:rsidP="00780D71">
      <w:r>
        <w:separator/>
      </w:r>
    </w:p>
  </w:endnote>
  <w:endnote w:type="continuationSeparator" w:id="0">
    <w:p w:rsidR="007757C5" w:rsidRDefault="007757C5" w:rsidP="00780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7C5" w:rsidRDefault="007757C5" w:rsidP="00780D71">
      <w:r>
        <w:separator/>
      </w:r>
    </w:p>
  </w:footnote>
  <w:footnote w:type="continuationSeparator" w:id="0">
    <w:p w:rsidR="007757C5" w:rsidRDefault="007757C5" w:rsidP="00780D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131"/>
    <w:rsid w:val="00015EF9"/>
    <w:rsid w:val="000B166C"/>
    <w:rsid w:val="00117742"/>
    <w:rsid w:val="00134E13"/>
    <w:rsid w:val="001404C4"/>
    <w:rsid w:val="00193D61"/>
    <w:rsid w:val="00240524"/>
    <w:rsid w:val="00242CC4"/>
    <w:rsid w:val="00382BD0"/>
    <w:rsid w:val="00412869"/>
    <w:rsid w:val="004927E8"/>
    <w:rsid w:val="004C715A"/>
    <w:rsid w:val="004C7BD8"/>
    <w:rsid w:val="0060790F"/>
    <w:rsid w:val="00611165"/>
    <w:rsid w:val="00615007"/>
    <w:rsid w:val="00683592"/>
    <w:rsid w:val="006873A6"/>
    <w:rsid w:val="006D0B9D"/>
    <w:rsid w:val="00730297"/>
    <w:rsid w:val="007757C5"/>
    <w:rsid w:val="00780D71"/>
    <w:rsid w:val="00790EEA"/>
    <w:rsid w:val="008D4035"/>
    <w:rsid w:val="0094457A"/>
    <w:rsid w:val="009E0131"/>
    <w:rsid w:val="00A85558"/>
    <w:rsid w:val="00A93496"/>
    <w:rsid w:val="00AC23FB"/>
    <w:rsid w:val="00B42AD4"/>
    <w:rsid w:val="00B50165"/>
    <w:rsid w:val="00B60CF5"/>
    <w:rsid w:val="00B764E8"/>
    <w:rsid w:val="00BB7792"/>
    <w:rsid w:val="00C72A8F"/>
    <w:rsid w:val="00C97DCF"/>
    <w:rsid w:val="00D170D2"/>
    <w:rsid w:val="00D5637C"/>
    <w:rsid w:val="00D70A8B"/>
    <w:rsid w:val="00DC0B01"/>
    <w:rsid w:val="00E01E04"/>
    <w:rsid w:val="00E21C09"/>
    <w:rsid w:val="00E5349C"/>
    <w:rsid w:val="00EE268A"/>
    <w:rsid w:val="00F716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B764E8"/>
  </w:style>
  <w:style w:type="table" w:styleId="a3">
    <w:name w:val="Table Grid"/>
    <w:basedOn w:val="a1"/>
    <w:uiPriority w:val="59"/>
    <w:rsid w:val="00615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17742"/>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117742"/>
    <w:rPr>
      <w:rFonts w:asciiTheme="majorHAnsi" w:eastAsiaTheme="majorEastAsia" w:hAnsiTheme="majorHAnsi" w:cstheme="majorBidi"/>
      <w:sz w:val="18"/>
      <w:szCs w:val="18"/>
    </w:rPr>
  </w:style>
  <w:style w:type="paragraph" w:styleId="a6">
    <w:name w:val="header"/>
    <w:basedOn w:val="a"/>
    <w:link w:val="a7"/>
    <w:uiPriority w:val="99"/>
    <w:unhideWhenUsed/>
    <w:rsid w:val="00780D71"/>
    <w:pPr>
      <w:tabs>
        <w:tab w:val="center" w:pos="4153"/>
        <w:tab w:val="right" w:pos="8306"/>
      </w:tabs>
      <w:snapToGrid w:val="0"/>
    </w:pPr>
    <w:rPr>
      <w:sz w:val="20"/>
      <w:szCs w:val="20"/>
    </w:rPr>
  </w:style>
  <w:style w:type="character" w:customStyle="1" w:styleId="a7">
    <w:name w:val="頁首 字元"/>
    <w:basedOn w:val="a0"/>
    <w:link w:val="a6"/>
    <w:uiPriority w:val="99"/>
    <w:rsid w:val="00780D71"/>
    <w:rPr>
      <w:sz w:val="20"/>
      <w:szCs w:val="20"/>
    </w:rPr>
  </w:style>
  <w:style w:type="paragraph" w:styleId="a8">
    <w:name w:val="footer"/>
    <w:basedOn w:val="a"/>
    <w:link w:val="a9"/>
    <w:uiPriority w:val="99"/>
    <w:unhideWhenUsed/>
    <w:rsid w:val="00780D71"/>
    <w:pPr>
      <w:tabs>
        <w:tab w:val="center" w:pos="4153"/>
        <w:tab w:val="right" w:pos="8306"/>
      </w:tabs>
      <w:snapToGrid w:val="0"/>
    </w:pPr>
    <w:rPr>
      <w:sz w:val="20"/>
      <w:szCs w:val="20"/>
    </w:rPr>
  </w:style>
  <w:style w:type="character" w:customStyle="1" w:styleId="a9">
    <w:name w:val="頁尾 字元"/>
    <w:basedOn w:val="a0"/>
    <w:link w:val="a8"/>
    <w:uiPriority w:val="99"/>
    <w:rsid w:val="00780D7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B764E8"/>
  </w:style>
  <w:style w:type="table" w:styleId="a3">
    <w:name w:val="Table Grid"/>
    <w:basedOn w:val="a1"/>
    <w:uiPriority w:val="59"/>
    <w:rsid w:val="00615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17742"/>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117742"/>
    <w:rPr>
      <w:rFonts w:asciiTheme="majorHAnsi" w:eastAsiaTheme="majorEastAsia" w:hAnsiTheme="majorHAnsi" w:cstheme="majorBidi"/>
      <w:sz w:val="18"/>
      <w:szCs w:val="18"/>
    </w:rPr>
  </w:style>
  <w:style w:type="paragraph" w:styleId="a6">
    <w:name w:val="header"/>
    <w:basedOn w:val="a"/>
    <w:link w:val="a7"/>
    <w:uiPriority w:val="99"/>
    <w:unhideWhenUsed/>
    <w:rsid w:val="00780D71"/>
    <w:pPr>
      <w:tabs>
        <w:tab w:val="center" w:pos="4153"/>
        <w:tab w:val="right" w:pos="8306"/>
      </w:tabs>
      <w:snapToGrid w:val="0"/>
    </w:pPr>
    <w:rPr>
      <w:sz w:val="20"/>
      <w:szCs w:val="20"/>
    </w:rPr>
  </w:style>
  <w:style w:type="character" w:customStyle="1" w:styleId="a7">
    <w:name w:val="頁首 字元"/>
    <w:basedOn w:val="a0"/>
    <w:link w:val="a6"/>
    <w:uiPriority w:val="99"/>
    <w:rsid w:val="00780D71"/>
    <w:rPr>
      <w:sz w:val="20"/>
      <w:szCs w:val="20"/>
    </w:rPr>
  </w:style>
  <w:style w:type="paragraph" w:styleId="a8">
    <w:name w:val="footer"/>
    <w:basedOn w:val="a"/>
    <w:link w:val="a9"/>
    <w:uiPriority w:val="99"/>
    <w:unhideWhenUsed/>
    <w:rsid w:val="00780D71"/>
    <w:pPr>
      <w:tabs>
        <w:tab w:val="center" w:pos="4153"/>
        <w:tab w:val="right" w:pos="8306"/>
      </w:tabs>
      <w:snapToGrid w:val="0"/>
    </w:pPr>
    <w:rPr>
      <w:sz w:val="20"/>
      <w:szCs w:val="20"/>
    </w:rPr>
  </w:style>
  <w:style w:type="character" w:customStyle="1" w:styleId="a9">
    <w:name w:val="頁尾 字元"/>
    <w:basedOn w:val="a0"/>
    <w:link w:val="a8"/>
    <w:uiPriority w:val="99"/>
    <w:rsid w:val="00780D7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51913">
      <w:bodyDiv w:val="1"/>
      <w:marLeft w:val="0"/>
      <w:marRight w:val="0"/>
      <w:marTop w:val="0"/>
      <w:marBottom w:val="0"/>
      <w:divBdr>
        <w:top w:val="none" w:sz="0" w:space="0" w:color="auto"/>
        <w:left w:val="none" w:sz="0" w:space="0" w:color="auto"/>
        <w:bottom w:val="none" w:sz="0" w:space="0" w:color="auto"/>
        <w:right w:val="none" w:sz="0" w:space="0" w:color="auto"/>
      </w:divBdr>
      <w:divsChild>
        <w:div w:id="391466069">
          <w:marLeft w:val="0"/>
          <w:marRight w:val="0"/>
          <w:marTop w:val="600"/>
          <w:marBottom w:val="0"/>
          <w:divBdr>
            <w:top w:val="none" w:sz="0" w:space="0" w:color="auto"/>
            <w:left w:val="none" w:sz="0" w:space="0" w:color="auto"/>
            <w:bottom w:val="none" w:sz="0" w:space="0" w:color="auto"/>
            <w:right w:val="none" w:sz="0" w:space="0" w:color="auto"/>
          </w:divBdr>
        </w:div>
        <w:div w:id="154540425">
          <w:marLeft w:val="0"/>
          <w:marRight w:val="0"/>
          <w:marTop w:val="75"/>
          <w:marBottom w:val="150"/>
          <w:divBdr>
            <w:top w:val="dashed" w:sz="6" w:space="4" w:color="ADD6E4"/>
            <w:left w:val="none" w:sz="0" w:space="0" w:color="auto"/>
            <w:bottom w:val="dashed" w:sz="6" w:space="4" w:color="ADD6E4"/>
            <w:right w:val="none" w:sz="0" w:space="0" w:color="auto"/>
          </w:divBdr>
        </w:div>
      </w:divsChild>
    </w:div>
    <w:div w:id="1353646164">
      <w:bodyDiv w:val="1"/>
      <w:marLeft w:val="0"/>
      <w:marRight w:val="0"/>
      <w:marTop w:val="0"/>
      <w:marBottom w:val="0"/>
      <w:divBdr>
        <w:top w:val="none" w:sz="0" w:space="0" w:color="auto"/>
        <w:left w:val="none" w:sz="0" w:space="0" w:color="auto"/>
        <w:bottom w:val="none" w:sz="0" w:space="0" w:color="auto"/>
        <w:right w:val="none" w:sz="0" w:space="0" w:color="auto"/>
      </w:divBdr>
      <w:divsChild>
        <w:div w:id="1145779609">
          <w:marLeft w:val="0"/>
          <w:marRight w:val="0"/>
          <w:marTop w:val="0"/>
          <w:marBottom w:val="0"/>
          <w:divBdr>
            <w:top w:val="none" w:sz="0" w:space="0" w:color="auto"/>
            <w:left w:val="none" w:sz="0" w:space="0" w:color="auto"/>
            <w:bottom w:val="none" w:sz="0" w:space="0" w:color="auto"/>
            <w:right w:val="none" w:sz="0" w:space="0" w:color="auto"/>
          </w:divBdr>
          <w:divsChild>
            <w:div w:id="1014302986">
              <w:marLeft w:val="0"/>
              <w:marRight w:val="0"/>
              <w:marTop w:val="0"/>
              <w:marBottom w:val="0"/>
              <w:divBdr>
                <w:top w:val="none" w:sz="0" w:space="0" w:color="auto"/>
                <w:left w:val="none" w:sz="0" w:space="0" w:color="auto"/>
                <w:bottom w:val="none" w:sz="0" w:space="0" w:color="auto"/>
                <w:right w:val="none" w:sz="0" w:space="0" w:color="auto"/>
              </w:divBdr>
              <w:divsChild>
                <w:div w:id="1975869652">
                  <w:marLeft w:val="0"/>
                  <w:marRight w:val="0"/>
                  <w:marTop w:val="0"/>
                  <w:marBottom w:val="0"/>
                  <w:divBdr>
                    <w:top w:val="none" w:sz="0" w:space="0" w:color="auto"/>
                    <w:left w:val="none" w:sz="0" w:space="0" w:color="auto"/>
                    <w:bottom w:val="none" w:sz="0" w:space="0" w:color="auto"/>
                    <w:right w:val="none" w:sz="0" w:space="0" w:color="auto"/>
                  </w:divBdr>
                  <w:divsChild>
                    <w:div w:id="44106929">
                      <w:marLeft w:val="0"/>
                      <w:marRight w:val="0"/>
                      <w:marTop w:val="0"/>
                      <w:marBottom w:val="0"/>
                      <w:divBdr>
                        <w:top w:val="none" w:sz="0" w:space="0" w:color="auto"/>
                        <w:left w:val="none" w:sz="0" w:space="0" w:color="auto"/>
                        <w:bottom w:val="none" w:sz="0" w:space="0" w:color="auto"/>
                        <w:right w:val="none" w:sz="0" w:space="0" w:color="auto"/>
                      </w:divBdr>
                      <w:divsChild>
                        <w:div w:id="682174633">
                          <w:marLeft w:val="0"/>
                          <w:marRight w:val="0"/>
                          <w:marTop w:val="0"/>
                          <w:marBottom w:val="0"/>
                          <w:divBdr>
                            <w:top w:val="none" w:sz="0" w:space="0" w:color="auto"/>
                            <w:left w:val="none" w:sz="0" w:space="0" w:color="auto"/>
                            <w:bottom w:val="none" w:sz="0" w:space="0" w:color="auto"/>
                            <w:right w:val="none" w:sz="0" w:space="0" w:color="auto"/>
                          </w:divBdr>
                          <w:divsChild>
                            <w:div w:id="1596278676">
                              <w:marLeft w:val="150"/>
                              <w:marRight w:val="0"/>
                              <w:marTop w:val="0"/>
                              <w:marBottom w:val="0"/>
                              <w:divBdr>
                                <w:top w:val="none" w:sz="0" w:space="0" w:color="auto"/>
                                <w:left w:val="none" w:sz="0" w:space="0" w:color="auto"/>
                                <w:bottom w:val="none" w:sz="0" w:space="0" w:color="auto"/>
                                <w:right w:val="none" w:sz="0" w:space="0" w:color="auto"/>
                              </w:divBdr>
                              <w:divsChild>
                                <w:div w:id="5836836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1389</Characters>
  <Application>Microsoft Office Word</Application>
  <DocSecurity>0</DocSecurity>
  <Lines>11</Lines>
  <Paragraphs>3</Paragraphs>
  <ScaleCrop>false</ScaleCrop>
  <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test72</dc:creator>
  <cp:lastModifiedBy>test72</cp:lastModifiedBy>
  <cp:revision>2</cp:revision>
  <cp:lastPrinted>2017-06-09T05:43:00Z</cp:lastPrinted>
  <dcterms:created xsi:type="dcterms:W3CDTF">2017-08-02T02:15:00Z</dcterms:created>
  <dcterms:modified xsi:type="dcterms:W3CDTF">2017-08-02T02:15:00Z</dcterms:modified>
</cp:coreProperties>
</file>