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560"/>
        <w:ind w:right="-624" w:hanging="0"/>
        <w:rPr>
          <w:rFonts w:ascii="微軟正黑體" w:hAnsi="微軟正黑體" w:eastAsia="微軟正黑體"/>
          <w:b/>
          <w:b/>
          <w:sz w:val="28"/>
          <w:szCs w:val="28"/>
        </w:rPr>
      </w:pPr>
      <w:r>
        <w:rPr>
          <w:rFonts w:ascii="微軟正黑體" w:hAnsi="微軟正黑體" w:eastAsia="微軟正黑體"/>
          <w:b/>
          <w:sz w:val="28"/>
          <w:szCs w:val="28"/>
        </w:rPr>
        <w:t>「駐泰國台北經濟文化辦事處新購館舍室內外裝修整建工程採購案」</w:t>
      </w:r>
    </w:p>
    <w:p>
      <w:pPr>
        <w:pStyle w:val="Normal"/>
        <w:spacing w:lineRule="exact" w:line="560"/>
        <w:ind w:right="-624" w:hanging="0"/>
        <w:jc w:val="center"/>
        <w:rPr>
          <w:rFonts w:ascii="微軟正黑體" w:hAnsi="微軟正黑體" w:eastAsia="微軟正黑體"/>
          <w:b/>
          <w:b/>
          <w:sz w:val="28"/>
          <w:szCs w:val="28"/>
        </w:rPr>
      </w:pPr>
      <w:r>
        <w:rPr>
          <w:rFonts w:ascii="微軟正黑體" w:hAnsi="微軟正黑體" w:eastAsia="微軟正黑體"/>
          <w:b/>
          <w:sz w:val="28"/>
          <w:szCs w:val="28"/>
        </w:rPr>
        <w:t>第二次公開招標文件增修內容說明</w:t>
      </w:r>
    </w:p>
    <w:p>
      <w:pPr>
        <w:pStyle w:val="Normal"/>
        <w:spacing w:lineRule="exact" w:line="560"/>
        <w:ind w:right="-624" w:hanging="0"/>
        <w:rPr>
          <w:rFonts w:ascii="微軟正黑體" w:hAnsi="微軟正黑體" w:eastAsia="微軟正黑體"/>
          <w:b/>
          <w:b/>
          <w:sz w:val="28"/>
          <w:szCs w:val="28"/>
        </w:rPr>
      </w:pPr>
      <w:r>
        <w:rPr>
          <w:rFonts w:eastAsia="微軟正黑體" w:ascii="微軟正黑體" w:hAnsi="微軟正黑體"/>
          <w:b/>
          <w:sz w:val="28"/>
          <w:szCs w:val="28"/>
        </w:rPr>
        <w:t>TECOinThai-Decor-Renovation Tender Documents Amendments</w:t>
      </w:r>
    </w:p>
    <w:p>
      <w:pPr>
        <w:pStyle w:val="Normal"/>
        <w:spacing w:lineRule="exact" w:line="560"/>
        <w:ind w:right="-624" w:hanging="0"/>
        <w:rPr>
          <w:rFonts w:ascii="微軟正黑體" w:hAnsi="微軟正黑體" w:eastAsia="微軟正黑體"/>
          <w:b/>
          <w:b/>
          <w:sz w:val="28"/>
          <w:szCs w:val="28"/>
        </w:rPr>
      </w:pPr>
      <w:r>
        <w:rPr>
          <w:rFonts w:eastAsia="微軟正黑體" w:ascii="微軟正黑體" w:hAnsi="微軟正黑體"/>
          <w:b/>
          <w:sz w:val="28"/>
          <w:szCs w:val="28"/>
        </w:rPr>
      </w:r>
    </w:p>
    <w:p>
      <w:pPr>
        <w:pStyle w:val="ListParagraph"/>
        <w:numPr>
          <w:ilvl w:val="0"/>
          <w:numId w:val="1"/>
        </w:numPr>
        <w:spacing w:lineRule="exact" w:line="560"/>
        <w:ind w:left="360" w:right="-624" w:hanging="360"/>
        <w:rPr>
          <w:rFonts w:ascii="微軟正黑體" w:hAnsi="微軟正黑體" w:eastAsia="微軟正黑體"/>
          <w:b/>
          <w:b/>
          <w:sz w:val="28"/>
          <w:szCs w:val="28"/>
        </w:rPr>
      </w:pPr>
      <w:r>
        <w:rPr>
          <w:rFonts w:ascii="微軟正黑體" w:hAnsi="微軟正黑體" w:eastAsia="微軟正黑體"/>
          <w:b/>
          <w:sz w:val="28"/>
          <w:szCs w:val="28"/>
        </w:rPr>
        <w:t xml:space="preserve">預算書內的名詞修正 </w:t>
      </w:r>
      <w:r>
        <w:rPr>
          <w:rFonts w:eastAsia="微軟正黑體" w:ascii="微軟正黑體" w:hAnsi="微軟正黑體"/>
          <w:b/>
          <w:sz w:val="28"/>
          <w:szCs w:val="28"/>
        </w:rPr>
        <w:t>(Correction of Translated terms in the BoQ):</w:t>
      </w:r>
    </w:p>
    <w:p>
      <w:pPr>
        <w:pStyle w:val="Normal"/>
        <w:spacing w:lineRule="exact" w:line="560"/>
        <w:rPr>
          <w:rFonts w:ascii="微軟正黑體" w:hAnsi="微軟正黑體" w:eastAsia="微軟正黑體"/>
          <w:sz w:val="28"/>
          <w:szCs w:val="28"/>
        </w:rPr>
      </w:pPr>
      <w:r>
        <w:rPr>
          <w:rFonts w:ascii="微軟正黑體" w:hAnsi="微軟正黑體" w:eastAsia="微軟正黑體"/>
          <w:sz w:val="28"/>
          <w:szCs w:val="28"/>
        </w:rPr>
        <w:t xml:space="preserve">        </w:t>
      </w:r>
      <w:r>
        <w:rPr>
          <w:rFonts w:ascii="微軟正黑體" w:hAnsi="微軟正黑體" w:eastAsia="微軟正黑體"/>
          <w:sz w:val="28"/>
          <w:szCs w:val="28"/>
        </w:rPr>
        <w:t>管路標示：</w:t>
      </w:r>
      <w:r>
        <w:rPr>
          <w:rFonts w:eastAsia="微軟正黑體" w:ascii="微軟正黑體" w:hAnsi="微軟正黑體"/>
          <w:sz w:val="28"/>
          <w:szCs w:val="28"/>
        </w:rPr>
        <w:t>pipe label</w:t>
      </w:r>
    </w:p>
    <w:p>
      <w:pPr>
        <w:pStyle w:val="Normal"/>
        <w:spacing w:lineRule="exact" w:line="560"/>
        <w:rPr>
          <w:rFonts w:ascii="微軟正黑體" w:hAnsi="微軟正黑體" w:eastAsia="微軟正黑體"/>
          <w:sz w:val="28"/>
          <w:szCs w:val="28"/>
        </w:rPr>
      </w:pPr>
      <w:r>
        <w:rPr>
          <w:rFonts w:ascii="微軟正黑體" w:hAnsi="微軟正黑體" w:eastAsia="微軟正黑體"/>
          <w:sz w:val="28"/>
          <w:szCs w:val="28"/>
        </w:rPr>
        <w:t xml:space="preserve">        </w:t>
      </w:r>
      <w:r>
        <w:rPr>
          <w:rFonts w:ascii="微軟正黑體" w:hAnsi="微軟正黑體" w:eastAsia="微軟正黑體"/>
          <w:sz w:val="28"/>
          <w:szCs w:val="28"/>
        </w:rPr>
        <w:t>配管用料：</w:t>
      </w:r>
      <w:r>
        <w:rPr>
          <w:rFonts w:eastAsia="微軟正黑體" w:ascii="微軟正黑體" w:hAnsi="微軟正黑體"/>
          <w:sz w:val="28"/>
          <w:szCs w:val="28"/>
        </w:rPr>
        <w:t>wire material</w:t>
      </w:r>
    </w:p>
    <w:p>
      <w:pPr>
        <w:pStyle w:val="Normal"/>
        <w:spacing w:lineRule="exact" w:line="560"/>
        <w:rPr>
          <w:rFonts w:ascii="微軟正黑體" w:hAnsi="微軟正黑體" w:eastAsia="微軟正黑體"/>
          <w:sz w:val="28"/>
          <w:szCs w:val="28"/>
        </w:rPr>
      </w:pPr>
      <w:r>
        <w:rPr>
          <w:rFonts w:ascii="微軟正黑體" w:hAnsi="微軟正黑體" w:eastAsia="微軟正黑體"/>
          <w:sz w:val="28"/>
          <w:szCs w:val="28"/>
        </w:rPr>
        <w:t xml:space="preserve">        </w:t>
      </w:r>
      <w:r>
        <w:rPr>
          <w:rFonts w:ascii="微軟正黑體" w:hAnsi="微軟正黑體" w:eastAsia="微軟正黑體"/>
          <w:sz w:val="28"/>
          <w:szCs w:val="28"/>
        </w:rPr>
        <w:t>五金另料：</w:t>
      </w:r>
      <w:r>
        <w:rPr>
          <w:rFonts w:eastAsia="微軟正黑體" w:ascii="微軟正黑體" w:hAnsi="微軟正黑體"/>
          <w:sz w:val="28"/>
          <w:szCs w:val="28"/>
        </w:rPr>
        <w:t>hardware material</w:t>
      </w:r>
    </w:p>
    <w:p>
      <w:pPr>
        <w:pStyle w:val="Normal"/>
        <w:spacing w:lineRule="exact" w:line="560"/>
        <w:rPr>
          <w:rFonts w:ascii="微軟正黑體" w:hAnsi="微軟正黑體" w:eastAsia="微軟正黑體"/>
          <w:sz w:val="28"/>
          <w:szCs w:val="28"/>
        </w:rPr>
      </w:pPr>
      <w:r>
        <w:rPr>
          <w:rFonts w:ascii="微軟正黑體" w:hAnsi="微軟正黑體" w:eastAsia="微軟正黑體"/>
          <w:sz w:val="28"/>
          <w:szCs w:val="28"/>
        </w:rPr>
        <w:t xml:space="preserve">        </w:t>
      </w:r>
      <w:r>
        <w:rPr>
          <w:rFonts w:ascii="微軟正黑體" w:hAnsi="微軟正黑體" w:eastAsia="微軟正黑體"/>
          <w:sz w:val="28"/>
          <w:szCs w:val="28"/>
        </w:rPr>
        <w:t>入土至岩盤：</w:t>
      </w:r>
      <w:r>
        <w:rPr>
          <w:rFonts w:eastAsia="微軟正黑體" w:ascii="微軟正黑體" w:hAnsi="微軟正黑體"/>
          <w:sz w:val="28"/>
          <w:szCs w:val="28"/>
        </w:rPr>
        <w:t>into the depth of the rock</w:t>
      </w:r>
    </w:p>
    <w:p>
      <w:pPr>
        <w:pStyle w:val="Normal"/>
        <w:spacing w:lineRule="exact" w:line="560"/>
        <w:rPr>
          <w:rFonts w:ascii="微軟正黑體" w:hAnsi="微軟正黑體" w:eastAsia="微軟正黑體"/>
          <w:sz w:val="28"/>
          <w:szCs w:val="28"/>
        </w:rPr>
      </w:pPr>
      <w:r>
        <w:rPr>
          <w:rFonts w:ascii="微軟正黑體" w:hAnsi="微軟正黑體" w:eastAsia="微軟正黑體"/>
          <w:sz w:val="28"/>
          <w:szCs w:val="28"/>
        </w:rPr>
        <w:t>　　　　拋光石英磚：</w:t>
      </w:r>
      <w:r>
        <w:rPr>
          <w:rFonts w:eastAsia="微軟正黑體" w:ascii="微軟正黑體" w:hAnsi="微軟正黑體"/>
          <w:sz w:val="28"/>
          <w:szCs w:val="28"/>
        </w:rPr>
        <w:t>Granito</w:t>
      </w:r>
    </w:p>
    <w:p>
      <w:pPr>
        <w:pStyle w:val="ListParagraph"/>
        <w:numPr>
          <w:ilvl w:val="0"/>
          <w:numId w:val="1"/>
        </w:numPr>
        <w:spacing w:lineRule="exact" w:line="560"/>
        <w:rPr>
          <w:rFonts w:ascii="微軟正黑體" w:hAnsi="微軟正黑體" w:eastAsia="微軟正黑體"/>
          <w:b/>
          <w:b/>
          <w:bCs/>
          <w:sz w:val="28"/>
          <w:szCs w:val="28"/>
        </w:rPr>
      </w:pPr>
      <w:r>
        <w:rPr>
          <w:rFonts w:ascii="微軟正黑體" w:hAnsi="微軟正黑體" w:eastAsia="微軟正黑體"/>
          <w:b/>
          <w:bCs/>
          <w:sz w:val="28"/>
          <w:szCs w:val="28"/>
        </w:rPr>
        <w:t>招標文件日期修正</w:t>
      </w:r>
      <w:r>
        <w:rPr>
          <w:rFonts w:eastAsia="微軟正黑體" w:ascii="微軟正黑體" w:hAnsi="微軟正黑體"/>
          <w:b/>
          <w:bCs/>
          <w:sz w:val="28"/>
          <w:szCs w:val="28"/>
        </w:rPr>
        <w:t xml:space="preserve">(Adjustment of Dates): </w:t>
      </w:r>
    </w:p>
    <w:p>
      <w:pPr>
        <w:pStyle w:val="Normal"/>
        <w:spacing w:lineRule="exact" w:line="560"/>
        <w:rPr>
          <w:rFonts w:ascii="微軟正黑體" w:hAnsi="微軟正黑體" w:eastAsia="微軟正黑體"/>
          <w:sz w:val="28"/>
          <w:szCs w:val="28"/>
        </w:rPr>
      </w:pPr>
      <w:r>
        <w:rPr>
          <w:rFonts w:ascii="微軟正黑體" w:hAnsi="微軟正黑體" w:eastAsia="微軟正黑體"/>
          <w:sz w:val="28"/>
          <w:szCs w:val="28"/>
        </w:rPr>
        <w:t>因應第二次招標之時程規畫，修正投標須知、契約、外標封、委託代理出席開標授權書、決標通知書之各項日期如下：</w:t>
      </w:r>
    </w:p>
    <w:p>
      <w:pPr>
        <w:pStyle w:val="Normal"/>
        <w:spacing w:lineRule="exact" w:line="560"/>
        <w:rPr>
          <w:rFonts w:ascii="微軟正黑體" w:hAnsi="微軟正黑體" w:eastAsia="微軟正黑體"/>
          <w:sz w:val="28"/>
          <w:szCs w:val="28"/>
        </w:rPr>
      </w:pPr>
      <w:r>
        <w:rPr>
          <w:rFonts w:eastAsia="微軟正黑體" w:ascii="微軟正黑體" w:hAnsi="微軟正黑體"/>
          <w:sz w:val="28"/>
          <w:szCs w:val="28"/>
        </w:rPr>
        <w:t>Given the change of schedule in public tender for the second time, all the dates in Notice of Tender, Contract, Tender Envelope, Letter of Empowerment, Letter of Award are adjusted as follows:</w:t>
      </w:r>
    </w:p>
    <w:p>
      <w:pPr>
        <w:pStyle w:val="Normal"/>
        <w:spacing w:lineRule="exact" w:line="560"/>
        <w:rPr>
          <w:rFonts w:ascii="微軟正黑體" w:hAnsi="微軟正黑體" w:eastAsia="微軟正黑體"/>
          <w:sz w:val="28"/>
          <w:szCs w:val="28"/>
        </w:rPr>
      </w:pPr>
      <w:r>
        <w:rPr>
          <w:rFonts w:eastAsia="微軟正黑體" w:ascii="微軟正黑體" w:hAnsi="微軟正黑體"/>
          <w:sz w:val="28"/>
          <w:szCs w:val="28"/>
        </w:rPr>
        <w:t>5/2</w:t>
      </w:r>
      <w:r>
        <w:rPr>
          <w:rFonts w:ascii="微軟正黑體" w:hAnsi="微軟正黑體" w:eastAsia="微軟正黑體"/>
          <w:sz w:val="28"/>
          <w:szCs w:val="28"/>
        </w:rPr>
        <w:t>上網公告、</w:t>
      </w:r>
      <w:r>
        <w:rPr>
          <w:rFonts w:eastAsia="微軟正黑體" w:ascii="微軟正黑體" w:hAnsi="微軟正黑體"/>
          <w:sz w:val="28"/>
          <w:szCs w:val="28"/>
        </w:rPr>
        <w:t>5/8</w:t>
      </w:r>
      <w:r>
        <w:rPr>
          <w:rFonts w:ascii="微軟正黑體" w:hAnsi="微軟正黑體" w:eastAsia="微軟正黑體"/>
          <w:sz w:val="28"/>
          <w:szCs w:val="28"/>
        </w:rPr>
        <w:t>開資格標、</w:t>
      </w:r>
      <w:r>
        <w:rPr>
          <w:rFonts w:eastAsia="微軟正黑體" w:ascii="微軟正黑體" w:hAnsi="微軟正黑體"/>
          <w:sz w:val="28"/>
          <w:szCs w:val="28"/>
        </w:rPr>
        <w:t>5/9</w:t>
      </w:r>
      <w:r>
        <w:rPr>
          <w:rFonts w:ascii="微軟正黑體" w:hAnsi="微軟正黑體" w:eastAsia="微軟正黑體"/>
          <w:sz w:val="28"/>
          <w:szCs w:val="28"/>
        </w:rPr>
        <w:t xml:space="preserve">開規格標、價格標 </w:t>
      </w:r>
      <w:r>
        <w:rPr>
          <w:rFonts w:eastAsia="微軟正黑體" w:ascii="微軟正黑體" w:hAnsi="微軟正黑體"/>
          <w:sz w:val="28"/>
          <w:szCs w:val="28"/>
        </w:rPr>
        <w:t>6/5</w:t>
      </w:r>
      <w:r>
        <w:rPr>
          <w:rFonts w:ascii="微軟正黑體" w:hAnsi="微軟正黑體" w:eastAsia="微軟正黑體"/>
          <w:sz w:val="28"/>
          <w:szCs w:val="28"/>
        </w:rPr>
        <w:t>預定開工、</w:t>
      </w:r>
      <w:r>
        <w:rPr>
          <w:rFonts w:eastAsia="微軟正黑體" w:ascii="微軟正黑體" w:hAnsi="微軟正黑體"/>
          <w:sz w:val="28"/>
          <w:szCs w:val="28"/>
        </w:rPr>
        <w:t>12/31</w:t>
      </w:r>
      <w:r>
        <w:rPr>
          <w:rFonts w:ascii="微軟正黑體" w:hAnsi="微軟正黑體" w:eastAsia="微軟正黑體"/>
          <w:sz w:val="28"/>
          <w:szCs w:val="28"/>
        </w:rPr>
        <w:t>預定完工</w:t>
      </w:r>
    </w:p>
    <w:p>
      <w:pPr>
        <w:pStyle w:val="Normal"/>
        <w:spacing w:lineRule="exact" w:line="560"/>
        <w:rPr>
          <w:rFonts w:ascii="微軟正黑體" w:hAnsi="微軟正黑體" w:eastAsia="微軟正黑體"/>
          <w:sz w:val="28"/>
          <w:szCs w:val="28"/>
        </w:rPr>
      </w:pPr>
      <w:r>
        <w:rPr>
          <w:rFonts w:eastAsia="微軟正黑體" w:ascii="微軟正黑體" w:hAnsi="微軟正黑體"/>
          <w:sz w:val="28"/>
          <w:szCs w:val="28"/>
        </w:rPr>
        <w:t xml:space="preserve">2 May: Announcement of Tender </w:t>
      </w:r>
    </w:p>
    <w:p>
      <w:pPr>
        <w:pStyle w:val="Normal"/>
        <w:spacing w:lineRule="exact" w:line="560"/>
        <w:rPr>
          <w:rFonts w:ascii="微軟正黑體" w:hAnsi="微軟正黑體" w:eastAsia="微軟正黑體"/>
          <w:sz w:val="28"/>
          <w:szCs w:val="28"/>
        </w:rPr>
      </w:pPr>
      <w:r>
        <w:rPr>
          <w:rFonts w:eastAsia="微軟正黑體" w:ascii="微軟正黑體" w:hAnsi="微軟正黑體"/>
          <w:sz w:val="28"/>
          <w:szCs w:val="28"/>
        </w:rPr>
        <w:t>8 May: Opening of Qualification Envelope</w:t>
      </w:r>
    </w:p>
    <w:p>
      <w:pPr>
        <w:pStyle w:val="Normal"/>
        <w:spacing w:lineRule="exact" w:line="560"/>
        <w:rPr>
          <w:rFonts w:ascii="微軟正黑體" w:hAnsi="微軟正黑體" w:eastAsia="微軟正黑體"/>
          <w:sz w:val="28"/>
          <w:szCs w:val="28"/>
        </w:rPr>
      </w:pPr>
      <w:r>
        <w:rPr>
          <w:rFonts w:eastAsia="微軟正黑體" w:ascii="微軟正黑體" w:hAnsi="微軟正黑體"/>
          <w:sz w:val="28"/>
          <w:szCs w:val="28"/>
        </w:rPr>
        <w:t>9 May: Opening of Specification and Price Envelope</w:t>
      </w:r>
    </w:p>
    <w:p>
      <w:pPr>
        <w:pStyle w:val="Normal"/>
        <w:spacing w:lineRule="exact" w:line="560"/>
        <w:rPr/>
      </w:pPr>
      <w:r>
        <w:rPr>
          <w:rFonts w:eastAsia="微軟正黑體" w:ascii="微軟正黑體" w:hAnsi="微軟正黑體"/>
          <w:sz w:val="28"/>
          <w:szCs w:val="28"/>
        </w:rPr>
        <w:t>5</w:t>
      </w:r>
      <w:r>
        <w:rPr>
          <w:rFonts w:eastAsia="微軟正黑體" w:ascii="微軟正黑體" w:hAnsi="微軟正黑體"/>
          <w:sz w:val="28"/>
          <w:szCs w:val="28"/>
        </w:rPr>
        <w:t xml:space="preserve"> June: Commencement of Construction</w:t>
      </w:r>
    </w:p>
    <w:p>
      <w:pPr>
        <w:pStyle w:val="Normal"/>
        <w:spacing w:lineRule="exact" w:line="560"/>
        <w:rPr>
          <w:rFonts w:ascii="微軟正黑體" w:hAnsi="微軟正黑體" w:eastAsia="微軟正黑體"/>
          <w:sz w:val="28"/>
          <w:szCs w:val="28"/>
        </w:rPr>
      </w:pPr>
      <w:r>
        <w:rPr>
          <w:rFonts w:eastAsia="微軟正黑體" w:ascii="微軟正黑體" w:hAnsi="微軟正黑體"/>
          <w:sz w:val="28"/>
          <w:szCs w:val="28"/>
        </w:rPr>
        <w:t>31</w:t>
      </w:r>
      <w:r>
        <w:rPr>
          <w:rFonts w:eastAsia="微軟正黑體" w:ascii="微軟正黑體" w:hAnsi="微軟正黑體"/>
          <w:sz w:val="28"/>
          <w:szCs w:val="28"/>
        </w:rPr>
        <w:t xml:space="preserve"> Dec: Completion of Work</w:t>
      </w:r>
    </w:p>
    <w:p>
      <w:pPr>
        <w:pStyle w:val="ListParagraph"/>
        <w:numPr>
          <w:ilvl w:val="0"/>
          <w:numId w:val="1"/>
        </w:numPr>
        <w:spacing w:lineRule="exact" w:line="560"/>
        <w:rPr>
          <w:rFonts w:ascii="微軟正黑體" w:hAnsi="微軟正黑體" w:eastAsia="微軟正黑體"/>
          <w:b/>
          <w:b/>
          <w:sz w:val="28"/>
          <w:szCs w:val="28"/>
        </w:rPr>
      </w:pPr>
      <w:r>
        <w:rPr>
          <w:rFonts w:ascii="微軟正黑體" w:hAnsi="微軟正黑體" w:eastAsia="微軟正黑體"/>
          <w:b/>
          <w:sz w:val="28"/>
          <w:szCs w:val="28"/>
        </w:rPr>
        <w:t xml:space="preserve">規格補充說明 </w:t>
      </w:r>
      <w:r>
        <w:rPr>
          <w:rFonts w:eastAsia="微軟正黑體" w:ascii="微軟正黑體" w:hAnsi="微軟正黑體"/>
          <w:b/>
          <w:sz w:val="28"/>
          <w:szCs w:val="28"/>
        </w:rPr>
        <w:t>(Clarification on Specification) :</w:t>
      </w:r>
    </w:p>
    <w:p>
      <w:pPr>
        <w:pStyle w:val="Normal"/>
        <w:spacing w:lineRule="exact" w:line="560"/>
        <w:ind w:right="-482" w:hanging="0"/>
        <w:rPr>
          <w:rFonts w:ascii="微軟正黑體" w:hAnsi="微軟正黑體" w:eastAsia="微軟正黑體"/>
          <w:bCs/>
          <w:sz w:val="28"/>
          <w:szCs w:val="28"/>
        </w:rPr>
      </w:pPr>
      <w:r>
        <w:rPr>
          <w:rFonts w:ascii="微軟正黑體" w:hAnsi="微軟正黑體" w:eastAsia="微軟正黑體"/>
          <w:bCs/>
          <w:sz w:val="28"/>
          <w:szCs w:val="28"/>
        </w:rPr>
        <w:t>補充說明麗晶石、冷氣規格、電機材料補充廠牌參考</w:t>
      </w:r>
    </w:p>
    <w:p>
      <w:pPr>
        <w:pStyle w:val="Normal"/>
        <w:spacing w:lineRule="exact" w:line="560"/>
        <w:ind w:right="-482" w:hanging="0"/>
        <w:rPr>
          <w:rFonts w:ascii="微軟正黑體" w:hAnsi="微軟正黑體" w:eastAsia="微軟正黑體"/>
          <w:bCs/>
          <w:sz w:val="28"/>
          <w:szCs w:val="28"/>
        </w:rPr>
      </w:pPr>
      <w:r>
        <w:rPr>
          <w:rFonts w:ascii="微軟正黑體" w:hAnsi="微軟正黑體" w:eastAsia="微軟正黑體"/>
          <w:bCs/>
          <w:sz w:val="28"/>
          <w:szCs w:val="28"/>
        </w:rPr>
        <w:t>麗晶石補充：人造大理石成分：樹脂</w:t>
      </w:r>
      <w:r>
        <w:rPr>
          <w:rFonts w:eastAsia="微軟正黑體" w:ascii="微軟正黑體" w:hAnsi="微軟正黑體"/>
          <w:bCs/>
          <w:sz w:val="28"/>
          <w:szCs w:val="28"/>
        </w:rPr>
        <w:t>30-50%</w:t>
      </w:r>
      <w:r>
        <w:rPr>
          <w:rFonts w:ascii="微軟正黑體" w:hAnsi="微軟正黑體" w:eastAsia="微軟正黑體"/>
          <w:bCs/>
          <w:sz w:val="28"/>
          <w:szCs w:val="28"/>
        </w:rPr>
        <w:t>、充填料</w:t>
      </w:r>
      <w:r>
        <w:rPr>
          <w:rFonts w:eastAsia="微軟正黑體" w:ascii="微軟正黑體" w:hAnsi="微軟正黑體"/>
          <w:bCs/>
          <w:sz w:val="28"/>
          <w:szCs w:val="28"/>
        </w:rPr>
        <w:t>(</w:t>
      </w:r>
      <w:r>
        <w:rPr>
          <w:rFonts w:ascii="微軟正黑體" w:hAnsi="微軟正黑體" w:eastAsia="微軟正黑體"/>
          <w:bCs/>
          <w:sz w:val="28"/>
          <w:szCs w:val="28"/>
        </w:rPr>
        <w:t>石粉基底</w:t>
      </w:r>
      <w:r>
        <w:rPr>
          <w:rFonts w:eastAsia="微軟正黑體" w:ascii="微軟正黑體" w:hAnsi="微軟正黑體"/>
          <w:bCs/>
          <w:sz w:val="28"/>
          <w:szCs w:val="28"/>
        </w:rPr>
        <w:t>)50-70%</w:t>
      </w:r>
      <w:r>
        <w:rPr>
          <w:rFonts w:ascii="微軟正黑體" w:hAnsi="微軟正黑體" w:eastAsia="微軟正黑體"/>
          <w:bCs/>
          <w:sz w:val="28"/>
          <w:szCs w:val="28"/>
        </w:rPr>
        <w:t>、色粉</w:t>
      </w:r>
      <w:r>
        <w:rPr>
          <w:rFonts w:eastAsia="微軟正黑體" w:ascii="微軟正黑體" w:hAnsi="微軟正黑體"/>
          <w:bCs/>
          <w:sz w:val="28"/>
          <w:szCs w:val="28"/>
        </w:rPr>
        <w:t>2-10%</w:t>
      </w:r>
      <w:r>
        <w:rPr>
          <w:rFonts w:ascii="微軟正黑體" w:hAnsi="微軟正黑體" w:eastAsia="微軟正黑體"/>
          <w:bCs/>
          <w:sz w:val="28"/>
          <w:szCs w:val="28"/>
        </w:rPr>
        <w:t>、顏料</w:t>
      </w:r>
      <w:r>
        <w:rPr>
          <w:rFonts w:eastAsia="微軟正黑體" w:ascii="微軟正黑體" w:hAnsi="微軟正黑體"/>
          <w:bCs/>
          <w:sz w:val="28"/>
          <w:szCs w:val="28"/>
        </w:rPr>
        <w:t>1-2%</w:t>
      </w:r>
      <w:r>
        <w:rPr>
          <w:rFonts w:ascii="微軟正黑體" w:hAnsi="微軟正黑體" w:eastAsia="微軟正黑體"/>
          <w:bCs/>
          <w:sz w:val="28"/>
          <w:szCs w:val="28"/>
        </w:rPr>
        <w:t>。</w:t>
      </w:r>
    </w:p>
    <w:p>
      <w:pPr>
        <w:pStyle w:val="Normal"/>
        <w:spacing w:lineRule="exact" w:line="560"/>
        <w:ind w:right="-482" w:hanging="0"/>
        <w:rPr>
          <w:rFonts w:ascii="微軟正黑體" w:hAnsi="微軟正黑體" w:eastAsia="微軟正黑體"/>
          <w:bCs/>
          <w:sz w:val="28"/>
          <w:szCs w:val="28"/>
        </w:rPr>
      </w:pPr>
      <w:r>
        <w:rPr>
          <w:rFonts w:eastAsia="微軟正黑體" w:ascii="微軟正黑體" w:hAnsi="微軟正黑體"/>
          <w:bCs/>
          <w:sz w:val="28"/>
          <w:szCs w:val="28"/>
        </w:rPr>
        <w:t>Artificial Marble(Composition: Resin 30-50%, Fillers(stone powder base) 50-70%, color powder 2-10%, pigm</w:t>
      </w:r>
      <w:bookmarkStart w:id="0" w:name="_GoBack"/>
      <w:bookmarkEnd w:id="0"/>
      <w:r>
        <w:rPr>
          <w:rFonts w:eastAsia="微軟正黑體" w:ascii="微軟正黑體" w:hAnsi="微軟正黑體"/>
          <w:bCs/>
          <w:sz w:val="28"/>
          <w:szCs w:val="28"/>
        </w:rPr>
        <w:t>ents 1-2%)</w:t>
      </w:r>
    </w:p>
    <w:p>
      <w:pPr>
        <w:pStyle w:val="Normal"/>
        <w:spacing w:lineRule="exact" w:line="560"/>
        <w:ind w:right="-482" w:hanging="0"/>
        <w:rPr>
          <w:rFonts w:ascii="微軟正黑體" w:hAnsi="微軟正黑體" w:eastAsia="微軟正黑體"/>
          <w:bCs/>
          <w:sz w:val="28"/>
          <w:szCs w:val="28"/>
        </w:rPr>
      </w:pPr>
      <w:r>
        <w:rPr>
          <w:rFonts w:eastAsia="微軟正黑體" w:ascii="微軟正黑體" w:hAnsi="微軟正黑體"/>
          <w:bCs/>
          <w:sz w:val="28"/>
          <w:szCs w:val="28"/>
        </w:rPr>
        <w:t>Additional explanation of Agrostone, Air-conditioner and Engineering Material Brands.</w:t>
      </w:r>
    </w:p>
    <w:p>
      <w:pPr>
        <w:pStyle w:val="ListParagraph"/>
        <w:numPr>
          <w:ilvl w:val="0"/>
          <w:numId w:val="1"/>
        </w:numPr>
        <w:spacing w:lineRule="exact" w:line="560"/>
        <w:rPr/>
      </w:pPr>
      <w:r>
        <w:rPr>
          <w:rFonts w:ascii="微軟正黑體" w:hAnsi="微軟正黑體" w:eastAsia="微軟正黑體"/>
          <w:b/>
          <w:sz w:val="28"/>
          <w:szCs w:val="28"/>
        </w:rPr>
        <w:t>圖說</w:t>
      </w:r>
      <w:r>
        <w:rPr>
          <w:rFonts w:eastAsia="微軟正黑體" w:ascii="微軟正黑體" w:hAnsi="微軟正黑體"/>
          <w:b/>
          <w:sz w:val="28"/>
          <w:szCs w:val="28"/>
        </w:rPr>
        <w:t>(plans):</w:t>
      </w:r>
      <w:r>
        <w:rPr>
          <w:rFonts w:ascii="微軟正黑體" w:hAnsi="微軟正黑體" w:eastAsia="微軟正黑體"/>
          <w:sz w:val="28"/>
          <w:szCs w:val="28"/>
        </w:rPr>
        <w:t xml:space="preserve">皆未調整 </w:t>
      </w:r>
      <w:r>
        <w:rPr>
          <w:rFonts w:eastAsia="微軟正黑體" w:ascii="微軟正黑體" w:hAnsi="微軟正黑體"/>
          <w:sz w:val="28"/>
          <w:szCs w:val="28"/>
        </w:rPr>
        <w:t>No amendments.</w:t>
      </w:r>
    </w:p>
    <w:sectPr>
      <w:type w:val="nextPage"/>
      <w:pgSz w:w="11906" w:h="16838"/>
      <w:pgMar w:left="1800" w:right="1800" w:header="0" w:top="1134" w:footer="0" w:bottom="1440" w:gutter="0"/>
      <w:pgNumType w:fmt="decimal"/>
      <w:formProt w:val="false"/>
      <w:textDirection w:val="lrTb"/>
      <w:docGrid w:type="lines"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Liberation Sans">
    <w:altName w:val="Arial"/>
    <w:charset w:val="88"/>
    <w:family w:val="swiss"/>
    <w:pitch w:val="variable"/>
  </w:font>
  <w:font w:name="微軟正黑體">
    <w:charset w:val="88"/>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8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TW" w:bidi="th-TH"/>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Cordia New" w:asciiTheme="minorHAnsi" w:cstheme="minorBidi" w:eastAsiaTheme="minorEastAsia" w:hAnsiTheme="minorHAnsi"/>
        <w:sz w:val="24"/>
        <w:szCs w:val="22"/>
        <w:lang w:val="en-US" w:eastAsia="zh-TW"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Web 1" w:semiHidden="0" w:unhideWhenUsed="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left"/>
    </w:pPr>
    <w:rPr>
      <w:rFonts w:ascii="Calibri" w:hAnsi="Calibri" w:eastAsia="新細明體" w:cs="Cordia New" w:asciiTheme="minorHAnsi" w:cstheme="minorBidi" w:eastAsiaTheme="minorEastAsia" w:hAnsiTheme="minorHAnsi"/>
      <w:color w:val="auto"/>
      <w:sz w:val="24"/>
      <w:szCs w:val="22"/>
      <w:lang w:val="en-US" w:eastAsia="zh-TW" w:bidi="ar-SA"/>
    </w:rPr>
  </w:style>
  <w:style w:type="character" w:styleId="DefaultParagraphFont" w:default="1">
    <w:name w:val="Default Paragraph Font"/>
    <w:uiPriority w:val="1"/>
    <w:semiHidden/>
    <w:unhideWhenUsed/>
    <w:qFormat/>
    <w:rPr/>
  </w:style>
  <w:style w:type="paragraph" w:styleId="Style14">
    <w:name w:val="標題"/>
    <w:basedOn w:val="Normal"/>
    <w:next w:val="Style15"/>
    <w:qFormat/>
    <w:pPr>
      <w:keepNext/>
      <w:spacing w:before="240" w:after="120"/>
    </w:pPr>
    <w:rPr>
      <w:rFonts w:ascii="Liberation Sans" w:hAnsi="Liberation Sans" w:eastAsia="微軟正黑體"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索引"/>
    <w:basedOn w:val="Normal"/>
    <w:qFormat/>
    <w:pPr>
      <w:suppressLineNumbers/>
    </w:pPr>
    <w:rPr>
      <w:rFonts w:cs="Mangal"/>
    </w:rPr>
  </w:style>
  <w:style w:type="paragraph" w:styleId="ListParagraph">
    <w:name w:val="List Paragraph"/>
    <w:basedOn w:val="Normal"/>
    <w:uiPriority w:val="34"/>
    <w:qFormat/>
    <w:rsid w:val="002075f0"/>
    <w:pPr>
      <w:ind w:left="480" w:hanging="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Application>LibreOffice/5.2.4.2$Windows_X86_64 LibreOffice_project/3d5603e1122f0f102b62521720ab13a38a4e0eb0</Application>
  <Pages>2</Pages>
  <Words>365</Words>
  <Characters>1006</Characters>
  <CharactersWithSpaces>1146</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2017-04-28T01:50:00Z</dcterms:created>
  <dc:creator>user</dc:creator>
  <dc:description/>
  <dc:language>zh-TW</dc:language>
  <cp:lastModifiedBy/>
  <cp:lastPrinted>2017-04-28T08:31:00Z</cp:lastPrinted>
  <dcterms:modified xsi:type="dcterms:W3CDTF">2017-05-02T16:11:57Z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